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DC27" w14:textId="19423679" w:rsidR="00713B87" w:rsidRDefault="00D63B2C" w:rsidP="00D63B2C">
      <w:pPr>
        <w:spacing w:after="120"/>
        <w:rPr>
          <w:u w:val="single"/>
        </w:rPr>
      </w:pPr>
      <w:r w:rsidRPr="00E7700F">
        <w:rPr>
          <w:b/>
          <w:sz w:val="22"/>
        </w:rPr>
        <w:t>«Publikation zu Planung und Zuteilung von Slots auf KV-Umschlagsanlagen</w:t>
      </w:r>
      <w:r w:rsidRPr="00E7700F">
        <w:rPr>
          <w:b/>
          <w:bCs/>
          <w:sz w:val="22"/>
        </w:rPr>
        <w:t>»</w:t>
      </w:r>
      <w:r w:rsidRPr="008917BA">
        <w:rPr>
          <w:b/>
          <w:bCs/>
          <w:i/>
          <w:sz w:val="22"/>
        </w:rPr>
        <w:t xml:space="preserve"> </w:t>
      </w:r>
    </w:p>
    <w:p w14:paraId="002BFAB5" w14:textId="7B92105B" w:rsidR="00D63B2C" w:rsidRDefault="00713B87" w:rsidP="00D63B2C">
      <w:pPr>
        <w:spacing w:after="120"/>
      </w:pPr>
      <w:r w:rsidRPr="00EE3DDE">
        <w:rPr>
          <w:sz w:val="22"/>
        </w:rPr>
        <w:t>Anleitung zum Ausfüllen der Vorlage</w:t>
      </w:r>
    </w:p>
    <w:p w14:paraId="323DB08C" w14:textId="77777777" w:rsidR="00D63B2C" w:rsidRDefault="00D63B2C" w:rsidP="00D63B2C"/>
    <w:p w14:paraId="03AAA695" w14:textId="4D7D263B" w:rsidR="00D63B2C" w:rsidRPr="002B3FEE" w:rsidRDefault="00D63B2C" w:rsidP="00EE3DDE">
      <w:pPr>
        <w:jc w:val="both"/>
      </w:pPr>
      <w:r w:rsidRPr="002B3FEE">
        <w:t>Auf den Folgeseiten b</w:t>
      </w:r>
      <w:r w:rsidR="00512452">
        <w:t>efindet sich die Vorlage, die</w:t>
      </w:r>
      <w:r w:rsidRPr="002B3FEE">
        <w:t xml:space="preserve"> für jede vom Bund mitfinanzierte</w:t>
      </w:r>
      <w:r w:rsidR="00AC6E1E">
        <w:t xml:space="preserve"> </w:t>
      </w:r>
      <w:r w:rsidRPr="002B3FEE">
        <w:t>KV-U</w:t>
      </w:r>
      <w:r w:rsidR="008C58EB">
        <w:t>mschlags</w:t>
      </w:r>
      <w:r w:rsidR="005640D1">
        <w:t>-</w:t>
      </w:r>
      <w:r w:rsidR="008C58EB">
        <w:t>anlage</w:t>
      </w:r>
      <w:r w:rsidRPr="002B3FEE">
        <w:t xml:space="preserve"> auszufüllen ist</w:t>
      </w:r>
      <w:r>
        <w:t>.</w:t>
      </w:r>
      <w:r w:rsidR="00150378">
        <w:t xml:space="preserve"> </w:t>
      </w:r>
      <w:r>
        <w:t>W</w:t>
      </w:r>
      <w:r w:rsidRPr="002B3FEE">
        <w:t>enn auf mehreren/allen Anlagen dieselben Regeln</w:t>
      </w:r>
      <w:r>
        <w:t xml:space="preserve"> gelten</w:t>
      </w:r>
      <w:r w:rsidRPr="002B3FEE">
        <w:t>, kann dies auch in einem Dokument erfolgen.</w:t>
      </w:r>
    </w:p>
    <w:p w14:paraId="44C55B13" w14:textId="77777777" w:rsidR="00D63B2C" w:rsidRDefault="00D63B2C" w:rsidP="00D63B2C">
      <w:pPr>
        <w:rPr>
          <w:u w:val="single"/>
        </w:rPr>
      </w:pPr>
    </w:p>
    <w:p w14:paraId="6243C38A" w14:textId="148B0243" w:rsidR="00D63B2C" w:rsidRDefault="00D63B2C" w:rsidP="00EE3DDE">
      <w:pPr>
        <w:jc w:val="both"/>
      </w:pPr>
      <w:r w:rsidRPr="006B6AE6">
        <w:t xml:space="preserve">Bitte füllen Sie </w:t>
      </w:r>
      <w:r w:rsidR="006D6E9D">
        <w:t xml:space="preserve">die </w:t>
      </w:r>
      <w:r w:rsidRPr="006B6AE6">
        <w:t>nachstehende</w:t>
      </w:r>
      <w:r w:rsidR="006D6E9D">
        <w:t>n</w:t>
      </w:r>
      <w:r w:rsidRPr="006B6AE6">
        <w:t xml:space="preserve"> Tabellen mit </w:t>
      </w:r>
      <w:r w:rsidR="006D6E9D">
        <w:t xml:space="preserve">den </w:t>
      </w:r>
      <w:r w:rsidR="00713B87">
        <w:t>R</w:t>
      </w:r>
      <w:r>
        <w:t xml:space="preserve">egeln zum Slotmanagement und den Regeln aus, die bei Abweichungen und Konflikten im Tagesgeschäft </w:t>
      </w:r>
      <w:r w:rsidR="005640D1">
        <w:t xml:space="preserve">auf Ihrer Anlage </w:t>
      </w:r>
      <w:r>
        <w:t>zur Anwendung kommen. Gehen Sie dabei wie folgt vor:</w:t>
      </w:r>
    </w:p>
    <w:p w14:paraId="5CB16497" w14:textId="77777777" w:rsidR="00D63B2C" w:rsidRDefault="00D63B2C" w:rsidP="00D63B2C"/>
    <w:p w14:paraId="1C6CDE6F" w14:textId="2759E5C7" w:rsidR="00D63B2C" w:rsidRDefault="00D63B2C" w:rsidP="00512452">
      <w:pPr>
        <w:pStyle w:val="Listenabsatz"/>
        <w:numPr>
          <w:ilvl w:val="0"/>
          <w:numId w:val="8"/>
        </w:numPr>
      </w:pPr>
      <w:r>
        <w:t xml:space="preserve">Tragen Sie </w:t>
      </w:r>
      <w:r w:rsidR="00E64520">
        <w:t>Anlagenname, Standort</w:t>
      </w:r>
      <w:r>
        <w:t>, Datum und Erstellungsdatum resp. das Datum der letzten Änderung ein.</w:t>
      </w:r>
    </w:p>
    <w:p w14:paraId="179DF92E" w14:textId="77777777" w:rsidR="00D63B2C" w:rsidRDefault="00D63B2C" w:rsidP="00EE3DDE">
      <w:pPr>
        <w:pStyle w:val="Listenabsatz"/>
        <w:jc w:val="both"/>
      </w:pPr>
    </w:p>
    <w:p w14:paraId="226D1DAC" w14:textId="431901BB" w:rsidR="00D63B2C" w:rsidRPr="00156646" w:rsidRDefault="00D63B2C" w:rsidP="00EE3DDE">
      <w:pPr>
        <w:pStyle w:val="Listenabsatz"/>
        <w:jc w:val="both"/>
        <w:rPr>
          <w:b/>
        </w:rPr>
      </w:pPr>
      <w:r w:rsidRPr="00156646">
        <w:rPr>
          <w:b/>
        </w:rPr>
        <w:t>Planung und Slotvergabe</w:t>
      </w:r>
      <w:r w:rsidR="005640D1">
        <w:rPr>
          <w:b/>
        </w:rPr>
        <w:t xml:space="preserve"> (Phase 1)</w:t>
      </w:r>
    </w:p>
    <w:p w14:paraId="4F181FA8" w14:textId="3B148660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>Führen Sie auf, wie Sie Slots zuweisen/vergeben und verwalten und wie Sie neue Anfragen handhaben. Erläutern Sie die Grundsätze in diesem Zusammenhang</w:t>
      </w:r>
      <w:r w:rsidR="006D6E9D">
        <w:t>.</w:t>
      </w:r>
    </w:p>
    <w:p w14:paraId="6B835781" w14:textId="3B4896C8" w:rsidR="00D63B2C" w:rsidRDefault="00512452" w:rsidP="00EE3DDE">
      <w:pPr>
        <w:pStyle w:val="Listenabsatz"/>
        <w:numPr>
          <w:ilvl w:val="0"/>
          <w:numId w:val="8"/>
        </w:numPr>
        <w:jc w:val="both"/>
      </w:pPr>
      <w:r>
        <w:t>Unterscheiden Sie dabei</w:t>
      </w:r>
      <w:r w:rsidR="00D63B2C">
        <w:t xml:space="preserve"> zwischen Operateur</w:t>
      </w:r>
      <w:r w:rsidR="0051321F">
        <w:t>g</w:t>
      </w:r>
      <w:r w:rsidR="00D63B2C">
        <w:t xml:space="preserve">eschäften, die </w:t>
      </w:r>
      <w:r w:rsidR="00742CD2">
        <w:t xml:space="preserve">insbesondere </w:t>
      </w:r>
      <w:r w:rsidR="00D63B2C">
        <w:t>auf der Schiene zeitlichen Vorlauf in der Planung benötigen und der Slotvergabe bei den Transporteuren</w:t>
      </w:r>
      <w:r w:rsidR="006D6E9D">
        <w:t>.</w:t>
      </w:r>
    </w:p>
    <w:p w14:paraId="28C0EA26" w14:textId="77777777" w:rsidR="00D63B2C" w:rsidRDefault="00D63B2C" w:rsidP="00D63B2C"/>
    <w:p w14:paraId="0BE37811" w14:textId="309358D3" w:rsidR="00D63B2C" w:rsidRPr="00156646" w:rsidRDefault="00D63B2C" w:rsidP="00D63B2C">
      <w:pPr>
        <w:ind w:firstLine="708"/>
        <w:rPr>
          <w:b/>
        </w:rPr>
      </w:pPr>
      <w:r w:rsidRPr="00156646">
        <w:rPr>
          <w:b/>
        </w:rPr>
        <w:t>Lösung von Konflikten und Abweichungen</w:t>
      </w:r>
      <w:r w:rsidR="005640D1">
        <w:rPr>
          <w:b/>
        </w:rPr>
        <w:t xml:space="preserve"> (Phase 2)</w:t>
      </w:r>
    </w:p>
    <w:p w14:paraId="3081E9DC" w14:textId="4D86D085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 xml:space="preserve">Stellen Sie dar, wie Ihr Betrieb auf </w:t>
      </w:r>
      <w:r w:rsidR="00742CD2">
        <w:t>Konflikten und Abweichungen</w:t>
      </w:r>
      <w:r>
        <w:t xml:space="preserve"> reagiert. Welche Verkehre werden dabei z.B. gegenüber anderen prioritär behandelt? Wie setzen Sie Ihre Ressourcen ein? Wie stimmen Sie sich mit den betroffenen Anspruchsgruppen auf Ihrer Anlage ab</w:t>
      </w:r>
      <w:r w:rsidR="0051321F">
        <w:t>?</w:t>
      </w:r>
    </w:p>
    <w:p w14:paraId="1D6CAD6E" w14:textId="1E9FB3BE" w:rsidR="00D63B2C" w:rsidRDefault="00512452" w:rsidP="00EE3DDE">
      <w:pPr>
        <w:pStyle w:val="Listenabsatz"/>
        <w:numPr>
          <w:ilvl w:val="0"/>
          <w:numId w:val="8"/>
        </w:numPr>
        <w:jc w:val="both"/>
      </w:pPr>
      <w:r>
        <w:t>Unterscheiden Sie dabei zwischen Operateuren und</w:t>
      </w:r>
      <w:r w:rsidR="00D63B2C">
        <w:t xml:space="preserve"> Transporteure</w:t>
      </w:r>
      <w:r>
        <w:t>n</w:t>
      </w:r>
      <w:r w:rsidR="0051321F">
        <w:t>.</w:t>
      </w:r>
    </w:p>
    <w:p w14:paraId="6D460B22" w14:textId="77777777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 xml:space="preserve">Publizieren Sie die ausgefüllte </w:t>
      </w:r>
      <w:r w:rsidR="006D2783">
        <w:t xml:space="preserve">Vorlage </w:t>
      </w:r>
      <w:r>
        <w:t xml:space="preserve">auf Ihrer Website </w:t>
      </w:r>
      <w:r w:rsidR="006D2783">
        <w:t xml:space="preserve">einfach auffindbar </w:t>
      </w:r>
      <w:r>
        <w:t>zusammen mit den Zugangsbedingungen.</w:t>
      </w:r>
    </w:p>
    <w:p w14:paraId="332614B5" w14:textId="77777777" w:rsidR="00D63B2C" w:rsidRDefault="00D63B2C" w:rsidP="00EE3DDE">
      <w:pPr>
        <w:pStyle w:val="Listenabsatz"/>
        <w:numPr>
          <w:ilvl w:val="0"/>
          <w:numId w:val="8"/>
        </w:numPr>
        <w:jc w:val="both"/>
      </w:pPr>
      <w:r>
        <w:t xml:space="preserve">Lassen Sie der RailCom den Link zur publizierten Tabelle </w:t>
      </w:r>
      <w:r w:rsidR="006D2783">
        <w:t xml:space="preserve">bis am </w:t>
      </w:r>
      <w:r w:rsidR="00150378" w:rsidRPr="00150378">
        <w:rPr>
          <w:b/>
        </w:rPr>
        <w:t>31.12.2022</w:t>
      </w:r>
      <w:r w:rsidR="006D2783">
        <w:t xml:space="preserve"> </w:t>
      </w:r>
      <w:r>
        <w:t>zukommen</w:t>
      </w:r>
      <w:r w:rsidR="006D2783">
        <w:t xml:space="preserve"> (info@railcom.admin.ch)</w:t>
      </w:r>
      <w:r>
        <w:t>.</w:t>
      </w:r>
    </w:p>
    <w:p w14:paraId="56F5393F" w14:textId="77777777" w:rsidR="00D63B2C" w:rsidRDefault="00D63B2C" w:rsidP="00EE3DDE">
      <w:pPr>
        <w:spacing w:after="160" w:line="259" w:lineRule="auto"/>
        <w:jc w:val="both"/>
        <w:rPr>
          <w:b/>
          <w:bCs/>
          <w:i/>
          <w:sz w:val="22"/>
        </w:rPr>
      </w:pPr>
    </w:p>
    <w:p w14:paraId="18A20965" w14:textId="0986647C" w:rsidR="00606F6E" w:rsidRDefault="00EB551A" w:rsidP="00AC6E1E">
      <w:pPr>
        <w:jc w:val="both"/>
        <w:rPr>
          <w:i/>
          <w:iCs/>
          <w:u w:val="single"/>
        </w:rPr>
      </w:pPr>
      <w:r>
        <w:rPr>
          <w:iCs/>
        </w:rPr>
        <w:t xml:space="preserve">Die in der Vorlage genannten </w:t>
      </w:r>
      <w:r w:rsidR="00606F6E" w:rsidRPr="002717D6">
        <w:rPr>
          <w:iCs/>
        </w:rPr>
        <w:t xml:space="preserve">Beispiele </w:t>
      </w:r>
      <w:r w:rsidR="00B63E1C">
        <w:rPr>
          <w:iCs/>
        </w:rPr>
        <w:t>in kursiver Schrift illustrieren beispielhaft</w:t>
      </w:r>
      <w:r w:rsidR="00B63E1C" w:rsidRPr="002717D6">
        <w:rPr>
          <w:iCs/>
        </w:rPr>
        <w:t xml:space="preserve"> </w:t>
      </w:r>
      <w:r w:rsidR="00606F6E" w:rsidRPr="002717D6">
        <w:rPr>
          <w:iCs/>
        </w:rPr>
        <w:t xml:space="preserve">mögliche </w:t>
      </w:r>
      <w:r w:rsidR="00B63E1C">
        <w:rPr>
          <w:iCs/>
        </w:rPr>
        <w:t>Regeln</w:t>
      </w:r>
      <w:r w:rsidR="00B63E1C" w:rsidRPr="002717D6">
        <w:rPr>
          <w:iCs/>
        </w:rPr>
        <w:t xml:space="preserve"> </w:t>
      </w:r>
      <w:r w:rsidR="00606F6E" w:rsidRPr="002717D6">
        <w:rPr>
          <w:iCs/>
        </w:rPr>
        <w:t xml:space="preserve">der Planung und der Slotvergabe </w:t>
      </w:r>
      <w:r>
        <w:rPr>
          <w:iCs/>
        </w:rPr>
        <w:t xml:space="preserve">resp. </w:t>
      </w:r>
      <w:r w:rsidRPr="002717D6">
        <w:t>mögliche Konfliktregeln</w:t>
      </w:r>
      <w:r w:rsidR="00606F6E" w:rsidRPr="002717D6">
        <w:rPr>
          <w:iCs/>
        </w:rPr>
        <w:t xml:space="preserve">. </w:t>
      </w:r>
      <w:r w:rsidR="00606F6E" w:rsidRPr="00EE3DDE">
        <w:rPr>
          <w:iCs/>
          <w:u w:val="single"/>
        </w:rPr>
        <w:t xml:space="preserve">Bitte fügen Sie Ihre </w:t>
      </w:r>
      <w:r w:rsidR="006D2783" w:rsidRPr="00EE3DDE">
        <w:rPr>
          <w:iCs/>
          <w:u w:val="single"/>
        </w:rPr>
        <w:t xml:space="preserve">eigenen Regeln </w:t>
      </w:r>
      <w:r w:rsidR="00606F6E" w:rsidRPr="00EE3DDE">
        <w:rPr>
          <w:iCs/>
          <w:u w:val="single"/>
        </w:rPr>
        <w:t xml:space="preserve">ein. Die </w:t>
      </w:r>
      <w:r w:rsidR="00B63E1C">
        <w:rPr>
          <w:iCs/>
          <w:u w:val="single"/>
        </w:rPr>
        <w:t>aufgeführten</w:t>
      </w:r>
      <w:r w:rsidR="00B63E1C" w:rsidRPr="00EE3DDE">
        <w:rPr>
          <w:iCs/>
          <w:u w:val="single"/>
        </w:rPr>
        <w:t xml:space="preserve"> </w:t>
      </w:r>
      <w:r w:rsidR="00606F6E" w:rsidRPr="00EE3DDE">
        <w:rPr>
          <w:iCs/>
          <w:u w:val="single"/>
        </w:rPr>
        <w:t xml:space="preserve">Beispiele in kursiver Schrift können dabei abgeändert oder gelöscht werden und dienen </w:t>
      </w:r>
      <w:r w:rsidR="00B63E1C">
        <w:rPr>
          <w:iCs/>
          <w:u w:val="single"/>
        </w:rPr>
        <w:t xml:space="preserve">ausschliesslich </w:t>
      </w:r>
      <w:r w:rsidR="00606F6E" w:rsidRPr="00EE3DDE">
        <w:rPr>
          <w:iCs/>
          <w:u w:val="single"/>
        </w:rPr>
        <w:t>als Anregungen.</w:t>
      </w:r>
    </w:p>
    <w:p w14:paraId="1B4F2390" w14:textId="77777777" w:rsidR="00606F6E" w:rsidRDefault="00606F6E" w:rsidP="00AC6E1E">
      <w:pPr>
        <w:jc w:val="both"/>
        <w:rPr>
          <w:i/>
          <w:iCs/>
          <w:u w:val="single"/>
        </w:rPr>
      </w:pPr>
    </w:p>
    <w:p w14:paraId="461403CF" w14:textId="77777777" w:rsidR="00606F6E" w:rsidRDefault="00606F6E" w:rsidP="00AC6E1E">
      <w:pPr>
        <w:rPr>
          <w:iCs/>
        </w:rPr>
      </w:pPr>
    </w:p>
    <w:p w14:paraId="08E2F465" w14:textId="77777777" w:rsidR="00606F6E" w:rsidRDefault="00606F6E" w:rsidP="00AC6E1E">
      <w:pPr>
        <w:rPr>
          <w:iCs/>
        </w:rPr>
      </w:pPr>
    </w:p>
    <w:p w14:paraId="05C67227" w14:textId="42028462" w:rsidR="00606F6E" w:rsidRPr="00EB551A" w:rsidRDefault="00606F6E" w:rsidP="00AC6E1E">
      <w:pPr>
        <w:jc w:val="both"/>
        <w:rPr>
          <w:b/>
          <w:iCs/>
        </w:rPr>
      </w:pPr>
      <w:r w:rsidRPr="00EB551A">
        <w:rPr>
          <w:b/>
          <w:iCs/>
        </w:rPr>
        <w:t xml:space="preserve">Bemerkung: Bitte löschen Sie </w:t>
      </w:r>
      <w:r w:rsidR="006D2783">
        <w:rPr>
          <w:b/>
          <w:iCs/>
        </w:rPr>
        <w:t>die Anleitung (</w:t>
      </w:r>
      <w:r w:rsidRPr="00EB551A">
        <w:rPr>
          <w:b/>
          <w:iCs/>
        </w:rPr>
        <w:t>erste Seite</w:t>
      </w:r>
      <w:r w:rsidR="006D2783">
        <w:rPr>
          <w:b/>
          <w:iCs/>
        </w:rPr>
        <w:t xml:space="preserve"> dieses Dokuments) vor</w:t>
      </w:r>
      <w:r w:rsidR="00424BA7">
        <w:rPr>
          <w:b/>
          <w:iCs/>
        </w:rPr>
        <w:t xml:space="preserve"> </w:t>
      </w:r>
      <w:r w:rsidRPr="00EB551A">
        <w:rPr>
          <w:b/>
          <w:iCs/>
        </w:rPr>
        <w:t xml:space="preserve">der Publikation </w:t>
      </w:r>
      <w:r w:rsidR="00424BA7">
        <w:rPr>
          <w:b/>
          <w:iCs/>
        </w:rPr>
        <w:t>der Grundsätze</w:t>
      </w:r>
      <w:r w:rsidRPr="00EB551A">
        <w:rPr>
          <w:b/>
          <w:iCs/>
        </w:rPr>
        <w:t>.</w:t>
      </w:r>
    </w:p>
    <w:p w14:paraId="29160322" w14:textId="77777777" w:rsidR="00D63B2C" w:rsidRDefault="00D63B2C" w:rsidP="00CF7090">
      <w:pPr>
        <w:spacing w:after="160" w:line="259" w:lineRule="auto"/>
        <w:rPr>
          <w:b/>
          <w:bCs/>
          <w:i/>
          <w:sz w:val="22"/>
        </w:rPr>
      </w:pPr>
    </w:p>
    <w:p w14:paraId="4C82F556" w14:textId="77777777" w:rsidR="00D63B2C" w:rsidRDefault="00D63B2C" w:rsidP="00CF7090">
      <w:pPr>
        <w:spacing w:after="160" w:line="259" w:lineRule="auto"/>
        <w:rPr>
          <w:b/>
          <w:bCs/>
          <w:i/>
          <w:sz w:val="22"/>
        </w:rPr>
      </w:pPr>
    </w:p>
    <w:p w14:paraId="570AB0BE" w14:textId="77777777" w:rsidR="00D63B2C" w:rsidRDefault="00D63B2C">
      <w:pPr>
        <w:spacing w:after="160" w:line="259" w:lineRule="auto"/>
        <w:rPr>
          <w:b/>
          <w:bCs/>
          <w:i/>
          <w:sz w:val="22"/>
        </w:rPr>
      </w:pPr>
      <w:r>
        <w:rPr>
          <w:b/>
          <w:bCs/>
          <w:i/>
          <w:sz w:val="22"/>
        </w:rPr>
        <w:br w:type="page"/>
      </w:r>
    </w:p>
    <w:p w14:paraId="502B5452" w14:textId="11C3BBB5" w:rsidR="00D63B2C" w:rsidRPr="00D6629D" w:rsidRDefault="00D63B2C" w:rsidP="00CF7090">
      <w:pPr>
        <w:spacing w:after="160" w:line="259" w:lineRule="auto"/>
        <w:rPr>
          <w:b/>
          <w:bCs/>
          <w:sz w:val="22"/>
        </w:rPr>
      </w:pPr>
      <w:r w:rsidRPr="00D6629D">
        <w:rPr>
          <w:b/>
          <w:sz w:val="22"/>
        </w:rPr>
        <w:lastRenderedPageBreak/>
        <w:t>Publikation zu</w:t>
      </w:r>
      <w:r w:rsidR="00713B87">
        <w:rPr>
          <w:b/>
          <w:sz w:val="22"/>
        </w:rPr>
        <w:t>r</w:t>
      </w:r>
      <w:r w:rsidRPr="00D6629D">
        <w:rPr>
          <w:b/>
          <w:sz w:val="22"/>
        </w:rPr>
        <w:t xml:space="preserve"> Planung und Zuteilung von Slots auf KV-Umschlagsanlagen</w:t>
      </w:r>
    </w:p>
    <w:p w14:paraId="5CA79618" w14:textId="502BA746" w:rsidR="00E64520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before="120"/>
      </w:pPr>
      <w:r>
        <w:t xml:space="preserve"> </w:t>
      </w:r>
      <w:r w:rsidR="00E35F3F" w:rsidRPr="00E35F3F">
        <w:t>Anlagenname:</w:t>
      </w:r>
      <w:bookmarkStart w:id="0" w:name="_GoBack"/>
      <w:bookmarkEnd w:id="0"/>
    </w:p>
    <w:p w14:paraId="6BE33F9E" w14:textId="6B1A07CB" w:rsidR="00CF7090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</w:pPr>
      <w:r>
        <w:t xml:space="preserve"> </w:t>
      </w:r>
      <w:r w:rsidR="00E35F3F" w:rsidRPr="00E35F3F">
        <w:t>Standort der Anlage:</w:t>
      </w:r>
    </w:p>
    <w:p w14:paraId="68ADB304" w14:textId="40085C86" w:rsidR="009941EF" w:rsidRPr="00E35F3F" w:rsidRDefault="00E64520" w:rsidP="00317CB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8" w:color="auto"/>
        </w:pBdr>
        <w:spacing w:after="120"/>
      </w:pPr>
      <w:r>
        <w:t xml:space="preserve"> </w:t>
      </w:r>
      <w:r w:rsidR="00E35F3F" w:rsidRPr="00E35F3F">
        <w:t>Erstellungsdatum:</w:t>
      </w:r>
    </w:p>
    <w:p w14:paraId="1B104190" w14:textId="77777777" w:rsidR="00E35F3F" w:rsidRDefault="00E35F3F" w:rsidP="00CF7090">
      <w:pPr>
        <w:rPr>
          <w:i/>
        </w:rPr>
      </w:pPr>
    </w:p>
    <w:p w14:paraId="080C704F" w14:textId="1BBA013B" w:rsidR="00CF7090" w:rsidRPr="009648B4" w:rsidRDefault="00CF7090" w:rsidP="00A52521">
      <w:pPr>
        <w:pStyle w:val="Listenabsatz"/>
        <w:numPr>
          <w:ilvl w:val="0"/>
          <w:numId w:val="1"/>
        </w:numPr>
        <w:ind w:left="284" w:hanging="284"/>
        <w:rPr>
          <w:b/>
        </w:rPr>
      </w:pPr>
      <w:r w:rsidRPr="009648B4">
        <w:rPr>
          <w:b/>
        </w:rPr>
        <w:t>Phase</w:t>
      </w:r>
      <w:r>
        <w:rPr>
          <w:b/>
        </w:rPr>
        <w:t>:</w:t>
      </w:r>
      <w:r w:rsidRPr="009648B4">
        <w:rPr>
          <w:b/>
        </w:rPr>
        <w:t xml:space="preserve"> </w:t>
      </w:r>
      <w:r w:rsidRPr="009648B4">
        <w:rPr>
          <w:b/>
          <w:u w:val="single"/>
        </w:rPr>
        <w:t xml:space="preserve">Planung und Slotvergabe (vor </w:t>
      </w:r>
      <w:r w:rsidR="00C465FE">
        <w:rPr>
          <w:b/>
          <w:u w:val="single"/>
        </w:rPr>
        <w:t xml:space="preserve">dem </w:t>
      </w:r>
      <w:r w:rsidRPr="009648B4">
        <w:rPr>
          <w:b/>
          <w:u w:val="single"/>
        </w:rPr>
        <w:t>operative</w:t>
      </w:r>
      <w:r w:rsidR="00C465FE">
        <w:rPr>
          <w:b/>
          <w:u w:val="single"/>
        </w:rPr>
        <w:t>n</w:t>
      </w:r>
      <w:r w:rsidRPr="009648B4">
        <w:rPr>
          <w:b/>
          <w:u w:val="single"/>
        </w:rPr>
        <w:t xml:space="preserve"> Betrieb)</w:t>
      </w:r>
    </w:p>
    <w:p w14:paraId="603D4D5B" w14:textId="77777777" w:rsidR="00CF7090" w:rsidRDefault="00CF7090" w:rsidP="00606F6E"/>
    <w:p w14:paraId="6839BA63" w14:textId="788905FD" w:rsidR="00CF7090" w:rsidRDefault="008C58EB" w:rsidP="00AC6E1E">
      <w:r w:rsidRPr="00D6629D">
        <w:rPr>
          <w:lang w:eastAsia="de-CH"/>
        </w:rPr>
        <w:t>Unsere</w:t>
      </w:r>
      <w:r w:rsidRPr="00D6629D">
        <w:t xml:space="preserve"> Anlage steht grundsätzlich allen Interessenten offen, sowohl Operateure</w:t>
      </w:r>
      <w:r w:rsidR="00512452">
        <w:t>n</w:t>
      </w:r>
      <w:r w:rsidRPr="00D6629D">
        <w:t xml:space="preserve"> als auch</w:t>
      </w:r>
      <w:r w:rsidR="006D6E9D">
        <w:t xml:space="preserve"> </w:t>
      </w:r>
      <w:r w:rsidRPr="00D6629D">
        <w:t>Transporteure</w:t>
      </w:r>
      <w:r w:rsidR="00512452">
        <w:t>n</w:t>
      </w:r>
      <w:r w:rsidRPr="00D6629D">
        <w:t xml:space="preserve">. Sollte die Wirtschaftlichkeit eines neuen Verkehrs dies </w:t>
      </w:r>
      <w:r w:rsidRPr="00D6629D">
        <w:rPr>
          <w:lang w:eastAsia="de-CH"/>
        </w:rPr>
        <w:t xml:space="preserve">rechtfertigen, </w:t>
      </w:r>
      <w:r w:rsidR="00B63E1C">
        <w:t>werden wir</w:t>
      </w:r>
      <w:r w:rsidRPr="00D6629D">
        <w:t xml:space="preserve"> die Ö</w:t>
      </w:r>
      <w:r w:rsidR="00B63E1C">
        <w:t xml:space="preserve">ffnungszeiten unserer Anlage </w:t>
      </w:r>
      <w:r w:rsidRPr="00D6629D">
        <w:t>überprüfen und gegebenenfalls anpassen.</w:t>
      </w:r>
    </w:p>
    <w:p w14:paraId="3BB7AF6D" w14:textId="77777777" w:rsidR="00AC6E1E" w:rsidRDefault="00AC6E1E" w:rsidP="00AC6E1E">
      <w:pPr>
        <w:rPr>
          <w:b/>
          <w:i/>
        </w:rPr>
      </w:pPr>
    </w:p>
    <w:p w14:paraId="09B046E7" w14:textId="4935AC71" w:rsidR="00F73FB8" w:rsidRPr="009648B4" w:rsidRDefault="00F73FB8" w:rsidP="00B63E1C">
      <w:pPr>
        <w:rPr>
          <w:i/>
          <w:iCs/>
        </w:rPr>
      </w:pPr>
      <w:r>
        <w:rPr>
          <w:szCs w:val="20"/>
        </w:rPr>
        <w:t>Auf der Anlage gelten nachfolgende Regeln bei der Vergabe von Slots:</w:t>
      </w:r>
    </w:p>
    <w:p w14:paraId="4A9CC4B7" w14:textId="77777777" w:rsidR="00F73FB8" w:rsidRPr="006B1A9A" w:rsidRDefault="00F73FB8" w:rsidP="00CF7090">
      <w:pPr>
        <w:ind w:left="360"/>
        <w:rPr>
          <w:b/>
          <w:i/>
        </w:rPr>
      </w:pPr>
    </w:p>
    <w:tbl>
      <w:tblPr>
        <w:tblStyle w:val="Tabellenraster"/>
        <w:tblW w:w="920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2"/>
        <w:gridCol w:w="6969"/>
      </w:tblGrid>
      <w:tr w:rsidR="00CF7090" w14:paraId="69B5D72D" w14:textId="77777777" w:rsidTr="00A146FC">
        <w:tc>
          <w:tcPr>
            <w:tcW w:w="2232" w:type="dxa"/>
            <w:shd w:val="clear" w:color="auto" w:fill="F2F2F2" w:themeFill="background1" w:themeFillShade="F2"/>
          </w:tcPr>
          <w:p w14:paraId="7B336E2E" w14:textId="77777777" w:rsidR="00CF7090" w:rsidRPr="009648B4" w:rsidRDefault="00CF7090" w:rsidP="00CF7090">
            <w:pPr>
              <w:pStyle w:val="Listenabsatz"/>
              <w:numPr>
                <w:ilvl w:val="0"/>
                <w:numId w:val="3"/>
              </w:numPr>
              <w:ind w:left="358" w:right="381"/>
            </w:pPr>
            <w:r w:rsidRPr="009648B4">
              <w:t xml:space="preserve">Planung und Slotvergabe </w:t>
            </w:r>
            <w:r w:rsidRPr="009648B4">
              <w:rPr>
                <w:b/>
              </w:rPr>
              <w:t>Schiene/Schiff</w:t>
            </w:r>
          </w:p>
          <w:p w14:paraId="7F16C268" w14:textId="77777777" w:rsidR="00CF7090" w:rsidRDefault="00CF7090" w:rsidP="008917BA">
            <w:pPr>
              <w:spacing w:line="240" w:lineRule="auto"/>
              <w:rPr>
                <w:i/>
              </w:rPr>
            </w:pPr>
          </w:p>
        </w:tc>
        <w:tc>
          <w:tcPr>
            <w:tcW w:w="6969" w:type="dxa"/>
          </w:tcPr>
          <w:p w14:paraId="0909EE6F" w14:textId="51579EE9" w:rsidR="00CF7090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>Die Zuteilung unserer Slots erfolgt nach dem Prinzip «first</w:t>
            </w:r>
            <w:r w:rsidR="006D6E9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come, first</w:t>
            </w:r>
            <w:r w:rsidR="006D6E9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served» resp. «first ordered,</w:t>
            </w:r>
            <w:r w:rsidR="00F73FB8">
              <w:rPr>
                <w:i/>
                <w:iCs/>
              </w:rPr>
              <w:t xml:space="preserve"> first served».</w:t>
            </w:r>
          </w:p>
          <w:p w14:paraId="5D0CBFBC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411FE2">
              <w:rPr>
                <w:i/>
                <w:iCs/>
              </w:rPr>
              <w:t xml:space="preserve">Im Rahmen der Slotvergabe bei Neuverkehren auf der Schiene </w:t>
            </w:r>
            <w:r>
              <w:rPr>
                <w:i/>
                <w:iCs/>
              </w:rPr>
              <w:t xml:space="preserve">schlagen </w:t>
            </w:r>
            <w:r w:rsidRPr="00411FE2">
              <w:rPr>
                <w:i/>
                <w:iCs/>
              </w:rPr>
              <w:t xml:space="preserve">wir dem Interessenten Alternativen </w:t>
            </w:r>
            <w:r w:rsidRPr="00726771">
              <w:rPr>
                <w:i/>
                <w:iCs/>
              </w:rPr>
              <w:t>vor</w:t>
            </w:r>
            <w:r w:rsidRPr="00411FE2">
              <w:rPr>
                <w:i/>
                <w:iCs/>
              </w:rPr>
              <w:t xml:space="preserve">. </w:t>
            </w:r>
          </w:p>
          <w:p w14:paraId="4D247DF7" w14:textId="04304FA2" w:rsidR="00E7700F" w:rsidRDefault="00E7700F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>Bei</w:t>
            </w:r>
            <w:r w:rsidRPr="009648B4">
              <w:rPr>
                <w:i/>
                <w:iCs/>
              </w:rPr>
              <w:t xml:space="preserve"> erstmaligen</w:t>
            </w:r>
            <w:r w:rsidR="00FF1C9B">
              <w:rPr>
                <w:i/>
                <w:iCs/>
              </w:rPr>
              <w:t>/neuen</w:t>
            </w:r>
            <w:r w:rsidRPr="009648B4">
              <w:rPr>
                <w:i/>
                <w:iCs/>
              </w:rPr>
              <w:t xml:space="preserve"> Anfragen </w:t>
            </w:r>
            <w:r>
              <w:rPr>
                <w:i/>
                <w:iCs/>
              </w:rPr>
              <w:t>wird die bestehende</w:t>
            </w:r>
            <w:r w:rsidRPr="009648B4">
              <w:rPr>
                <w:i/>
                <w:iCs/>
              </w:rPr>
              <w:t xml:space="preserve"> Zuteilung der Slots unter den Ope</w:t>
            </w:r>
            <w:r w:rsidR="00FF1C9B">
              <w:rPr>
                <w:i/>
                <w:iCs/>
              </w:rPr>
              <w:t xml:space="preserve">rateuren generell überprüft und </w:t>
            </w:r>
            <w:r w:rsidRPr="009648B4">
              <w:rPr>
                <w:i/>
                <w:iCs/>
              </w:rPr>
              <w:t>möglichst im Sinne aller Betroffene</w:t>
            </w:r>
            <w:r w:rsidR="00C465FE">
              <w:rPr>
                <w:i/>
                <w:iCs/>
              </w:rPr>
              <w:t>n</w:t>
            </w:r>
            <w:r w:rsidRPr="009648B4">
              <w:rPr>
                <w:i/>
                <w:iCs/>
              </w:rPr>
              <w:t xml:space="preserve"> verbessert</w:t>
            </w:r>
            <w:r>
              <w:rPr>
                <w:i/>
                <w:iCs/>
              </w:rPr>
              <w:t xml:space="preserve"> und neu</w:t>
            </w:r>
            <w:r w:rsidR="00C465FE">
              <w:rPr>
                <w:i/>
                <w:iCs/>
              </w:rPr>
              <w:t xml:space="preserve"> </w:t>
            </w:r>
            <w:r w:rsidR="00B63E1C">
              <w:rPr>
                <w:i/>
                <w:iCs/>
              </w:rPr>
              <w:t>zugeteilt</w:t>
            </w:r>
            <w:r>
              <w:rPr>
                <w:i/>
                <w:iCs/>
              </w:rPr>
              <w:t>.</w:t>
            </w:r>
            <w:r w:rsidR="00FF1C9B">
              <w:rPr>
                <w:i/>
                <w:iCs/>
              </w:rPr>
              <w:t xml:space="preserve"> Wird keine einvernehmliche Lösung gefunden, wird</w:t>
            </w:r>
            <w:r w:rsidR="00B16563">
              <w:rPr>
                <w:i/>
                <w:iCs/>
              </w:rPr>
              <w:t xml:space="preserve"> eine Verteilung der Slots</w:t>
            </w:r>
            <w:r w:rsidR="00FF1C9B">
              <w:rPr>
                <w:i/>
                <w:iCs/>
              </w:rPr>
              <w:t xml:space="preserve"> unter Berücksichtigung von Verkehrsvolumen und Deckungsbeitrag </w:t>
            </w:r>
            <w:r w:rsidR="00B16563">
              <w:rPr>
                <w:i/>
                <w:iCs/>
              </w:rPr>
              <w:t>vorgenommen.</w:t>
            </w:r>
          </w:p>
          <w:p w14:paraId="0C015170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411FE2">
              <w:rPr>
                <w:i/>
                <w:iCs/>
              </w:rPr>
              <w:t>Für eine Umsetzung neuer Verkehre benötigen wir üblicherweise 2 Monate Vorlauf.</w:t>
            </w:r>
          </w:p>
          <w:p w14:paraId="299DEDF6" w14:textId="77777777" w:rsidR="00CF7090" w:rsidRPr="00F23C9F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 w:rsidRPr="00411FE2">
              <w:rPr>
                <w:i/>
              </w:rPr>
              <w:t>Wir prüfen die Anpassung der Öffnungszeiten, wenn dadurch wirtschaftliche und nachhaltige Neuverkehre entstehen.</w:t>
            </w:r>
            <w:r w:rsidRPr="00411FE2">
              <w:rPr>
                <w:i/>
                <w:iCs/>
              </w:rPr>
              <w:t xml:space="preserve"> </w:t>
            </w:r>
          </w:p>
          <w:p w14:paraId="2ABEB9A8" w14:textId="77777777" w:rsidR="00CF7090" w:rsidRPr="00411FE2" w:rsidRDefault="00CF7090" w:rsidP="00B83117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 w:rsidRPr="00411FE2">
              <w:rPr>
                <w:i/>
                <w:iCs/>
              </w:rPr>
              <w:t>Slots für die Schifffahrt werden via Schiffsanmeldesystem RPIS (RheinPorts Information System) angefragt, von uns geprüft und bestätigt</w:t>
            </w:r>
            <w:r w:rsidR="006D6E9D">
              <w:rPr>
                <w:i/>
                <w:iCs/>
              </w:rPr>
              <w:t>.</w:t>
            </w:r>
          </w:p>
          <w:p w14:paraId="71E519DA" w14:textId="07EA1785" w:rsidR="00CF7090" w:rsidRPr="003F6C06" w:rsidRDefault="00CF7090" w:rsidP="00B83117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411FE2">
              <w:rPr>
                <w:i/>
                <w:iCs/>
              </w:rPr>
              <w:t>Schiff/Schiene fertigen wir üblicherweise a</w:t>
            </w:r>
            <w:r w:rsidR="00C465FE">
              <w:rPr>
                <w:i/>
                <w:iCs/>
              </w:rPr>
              <w:t>bends</w:t>
            </w:r>
            <w:r w:rsidRPr="00411FE2">
              <w:rPr>
                <w:i/>
                <w:iCs/>
              </w:rPr>
              <w:t xml:space="preserve"> ab 18.00 Uhr und während der Nacht (</w:t>
            </w:r>
            <w:r w:rsidR="006D6E9D">
              <w:rPr>
                <w:i/>
                <w:iCs/>
              </w:rPr>
              <w:t>u</w:t>
            </w:r>
            <w:r w:rsidRPr="00411FE2">
              <w:rPr>
                <w:i/>
                <w:iCs/>
              </w:rPr>
              <w:t xml:space="preserve">nter Berücksichtigung </w:t>
            </w:r>
            <w:r w:rsidR="006D6E9D">
              <w:rPr>
                <w:i/>
                <w:iCs/>
              </w:rPr>
              <w:t xml:space="preserve">von </w:t>
            </w:r>
            <w:r w:rsidRPr="00411FE2">
              <w:rPr>
                <w:i/>
                <w:iCs/>
              </w:rPr>
              <w:t>Nachtfahrverbot, Nachtruhestörung etc.) ab.</w:t>
            </w:r>
            <w:r w:rsidRPr="00411FE2">
              <w:rPr>
                <w:i/>
              </w:rPr>
              <w:t xml:space="preserve"> </w:t>
            </w:r>
          </w:p>
          <w:p w14:paraId="7D1DA665" w14:textId="3A950DA7" w:rsidR="00CF7090" w:rsidRPr="00606F6E" w:rsidRDefault="00CF7090" w:rsidP="00B83117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411FE2">
              <w:rPr>
                <w:i/>
              </w:rPr>
              <w:t>Behälter, welche noch am selben Tag in den Export müssen (Reexpeditionsverkehre)</w:t>
            </w:r>
            <w:r w:rsidR="006D6E9D">
              <w:rPr>
                <w:i/>
              </w:rPr>
              <w:t>,</w:t>
            </w:r>
            <w:r w:rsidRPr="00411FE2">
              <w:rPr>
                <w:i/>
              </w:rPr>
              <w:t xml:space="preserve"> werden in der Planung bevorzugt behandelt, um den Kundenbedürfnissen gerecht zu werden</w:t>
            </w:r>
            <w:r w:rsidR="006D6E9D">
              <w:rPr>
                <w:i/>
              </w:rPr>
              <w:t>.</w:t>
            </w:r>
          </w:p>
          <w:p w14:paraId="19E462FA" w14:textId="297EE0B2" w:rsidR="00CF7090" w:rsidRPr="00D206FF" w:rsidRDefault="00CF7090" w:rsidP="00A146FC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</w:pPr>
            <w:r w:rsidRPr="00411FE2">
              <w:rPr>
                <w:i/>
              </w:rPr>
              <w:t>etc.</w:t>
            </w:r>
            <w:r w:rsidRPr="00D206FF">
              <w:rPr>
                <w:i/>
                <w:lang w:eastAsia="de-CH"/>
              </w:rPr>
              <w:t xml:space="preserve"> </w:t>
            </w:r>
          </w:p>
        </w:tc>
      </w:tr>
      <w:tr w:rsidR="00CF7090" w14:paraId="6771A912" w14:textId="77777777" w:rsidTr="00A146FC">
        <w:tc>
          <w:tcPr>
            <w:tcW w:w="2232" w:type="dxa"/>
            <w:shd w:val="clear" w:color="auto" w:fill="F2F2F2" w:themeFill="background1" w:themeFillShade="F2"/>
          </w:tcPr>
          <w:p w14:paraId="000CC8B2" w14:textId="77777777" w:rsidR="00CF7090" w:rsidRPr="009648B4" w:rsidRDefault="00CF7090" w:rsidP="00CF7090">
            <w:pPr>
              <w:pStyle w:val="Listenabsatz"/>
              <w:numPr>
                <w:ilvl w:val="0"/>
                <w:numId w:val="3"/>
              </w:numPr>
              <w:ind w:left="358"/>
            </w:pPr>
            <w:r w:rsidRPr="009648B4">
              <w:t xml:space="preserve">Planung und Slotvergabe </w:t>
            </w:r>
            <w:r w:rsidRPr="009648B4">
              <w:rPr>
                <w:b/>
              </w:rPr>
              <w:t>Transporteure/</w:t>
            </w:r>
          </w:p>
          <w:p w14:paraId="057C04FF" w14:textId="77777777" w:rsidR="00CF7090" w:rsidRPr="009648B4" w:rsidRDefault="00CF7090" w:rsidP="008917BA">
            <w:pPr>
              <w:pStyle w:val="Listenabsatz"/>
              <w:ind w:left="358"/>
            </w:pPr>
            <w:r w:rsidRPr="009648B4">
              <w:rPr>
                <w:b/>
              </w:rPr>
              <w:t>LKW</w:t>
            </w:r>
          </w:p>
        </w:tc>
        <w:tc>
          <w:tcPr>
            <w:tcW w:w="6969" w:type="dxa"/>
          </w:tcPr>
          <w:p w14:paraId="65883363" w14:textId="77777777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FA046B">
              <w:rPr>
                <w:i/>
                <w:iCs/>
              </w:rPr>
              <w:t>Aufgrund eines regelmässigen Aufkommens an Containerhandlings können Wochen- und Tagesslots bei Transporteuren mit entsprechendem Verkehrsvolumen über das Jahr vertraglich vereinbart und fixiert werden.</w:t>
            </w:r>
          </w:p>
          <w:p w14:paraId="35283C39" w14:textId="03398C53" w:rsidR="00CF7090" w:rsidRPr="00EE3DDE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FA046B">
              <w:rPr>
                <w:i/>
                <w:iCs/>
              </w:rPr>
              <w:t>Gebuchte LKW-Slots müssen bis 2h vor vereinbarter Abholung storniert oder umgebucht werden</w:t>
            </w:r>
            <w:r w:rsidR="006D6E9D" w:rsidRPr="00FA046B">
              <w:rPr>
                <w:i/>
                <w:iCs/>
              </w:rPr>
              <w:t>,</w:t>
            </w:r>
            <w:r w:rsidRPr="00FA046B">
              <w:rPr>
                <w:i/>
                <w:iCs/>
              </w:rPr>
              <w:t xml:space="preserve"> ansonsten </w:t>
            </w:r>
            <w:r w:rsidR="006D6E9D" w:rsidRPr="00EE3DDE">
              <w:rPr>
                <w:i/>
                <w:iCs/>
              </w:rPr>
              <w:t>fallen Gebühren an.</w:t>
            </w:r>
          </w:p>
          <w:p w14:paraId="639B1425" w14:textId="51C8F8A9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>Transporteure/Strasse</w:t>
            </w:r>
            <w:r w:rsidRPr="00467CA9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fertigen wir üblicherweise </w:t>
            </w:r>
            <w:r w:rsidR="006D6E9D">
              <w:rPr>
                <w:i/>
                <w:iCs/>
              </w:rPr>
              <w:t>tagsüber</w:t>
            </w:r>
            <w:r>
              <w:rPr>
                <w:i/>
                <w:iCs/>
              </w:rPr>
              <w:t xml:space="preserve"> </w:t>
            </w:r>
            <w:r w:rsidRPr="00467CA9">
              <w:rPr>
                <w:i/>
                <w:iCs/>
              </w:rPr>
              <w:t xml:space="preserve">von </w:t>
            </w:r>
            <w:r>
              <w:rPr>
                <w:i/>
                <w:iCs/>
              </w:rPr>
              <w:t>0</w:t>
            </w:r>
            <w:r w:rsidRPr="00467CA9">
              <w:rPr>
                <w:i/>
                <w:iCs/>
              </w:rPr>
              <w:t>6.00 Uhr bis 18.00 Uhr</w:t>
            </w:r>
            <w:r w:rsidR="00B83117">
              <w:rPr>
                <w:i/>
                <w:iCs/>
              </w:rPr>
              <w:t xml:space="preserve"> ab</w:t>
            </w:r>
            <w:r w:rsidR="00424BA7">
              <w:rPr>
                <w:i/>
                <w:iCs/>
              </w:rPr>
              <w:t>.</w:t>
            </w:r>
          </w:p>
          <w:p w14:paraId="4F60CD8C" w14:textId="77777777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 xml:space="preserve">Die </w:t>
            </w:r>
            <w:r w:rsidRPr="00467CA9">
              <w:rPr>
                <w:i/>
                <w:iCs/>
              </w:rPr>
              <w:t xml:space="preserve">Reihenfolge </w:t>
            </w:r>
            <w:r>
              <w:rPr>
                <w:i/>
                <w:iCs/>
              </w:rPr>
              <w:t xml:space="preserve">der </w:t>
            </w:r>
            <w:r w:rsidRPr="00467CA9">
              <w:rPr>
                <w:i/>
                <w:iCs/>
              </w:rPr>
              <w:t xml:space="preserve">Abwicklung </w:t>
            </w:r>
            <w:r>
              <w:rPr>
                <w:i/>
                <w:iCs/>
              </w:rPr>
              <w:t xml:space="preserve">der </w:t>
            </w:r>
            <w:r w:rsidRPr="00467CA9">
              <w:rPr>
                <w:i/>
                <w:iCs/>
              </w:rPr>
              <w:t>Transporteure</w:t>
            </w:r>
            <w:r>
              <w:rPr>
                <w:i/>
                <w:iCs/>
              </w:rPr>
              <w:t xml:space="preserve"> erfolgt</w:t>
            </w:r>
            <w:r w:rsidRPr="00467CA9">
              <w:rPr>
                <w:i/>
                <w:iCs/>
              </w:rPr>
              <w:t xml:space="preserve"> gemäss Buchung </w:t>
            </w:r>
            <w:r>
              <w:rPr>
                <w:i/>
                <w:iCs/>
              </w:rPr>
              <w:t xml:space="preserve">in unserem </w:t>
            </w:r>
            <w:r w:rsidRPr="00467CA9">
              <w:rPr>
                <w:i/>
                <w:iCs/>
              </w:rPr>
              <w:t>Slotmanagement-Tool</w:t>
            </w:r>
            <w:r w:rsidR="00424BA7">
              <w:rPr>
                <w:i/>
                <w:iCs/>
              </w:rPr>
              <w:t>.</w:t>
            </w:r>
          </w:p>
          <w:p w14:paraId="4FBA423C" w14:textId="77777777" w:rsidR="00CF7090" w:rsidRPr="00FA046B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 xml:space="preserve">Oder: Die </w:t>
            </w:r>
            <w:r w:rsidRPr="006A207E">
              <w:rPr>
                <w:i/>
                <w:iCs/>
              </w:rPr>
              <w:t xml:space="preserve">Reihenfolge der Abwicklung </w:t>
            </w:r>
            <w:r w:rsidRPr="003C3604">
              <w:rPr>
                <w:i/>
                <w:iCs/>
              </w:rPr>
              <w:t xml:space="preserve">der Transporteure </w:t>
            </w:r>
            <w:r>
              <w:rPr>
                <w:i/>
                <w:iCs/>
              </w:rPr>
              <w:t xml:space="preserve">erfolgt </w:t>
            </w:r>
            <w:r w:rsidRPr="003C3604">
              <w:rPr>
                <w:i/>
                <w:iCs/>
              </w:rPr>
              <w:t xml:space="preserve">gemäss </w:t>
            </w:r>
            <w:r w:rsidRPr="00981246">
              <w:rPr>
                <w:i/>
                <w:iCs/>
              </w:rPr>
              <w:t>Reihenfolge/Kolonne Check-in (first come, first served)</w:t>
            </w:r>
            <w:r w:rsidR="00424BA7">
              <w:rPr>
                <w:i/>
                <w:iCs/>
              </w:rPr>
              <w:t>.</w:t>
            </w:r>
          </w:p>
          <w:p w14:paraId="09F06C26" w14:textId="17759A66" w:rsidR="00CF7090" w:rsidRDefault="00CF7090" w:rsidP="00A146FC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</w:rPr>
            </w:pPr>
            <w:r w:rsidRPr="00FA046B">
              <w:rPr>
                <w:i/>
                <w:iCs/>
              </w:rPr>
              <w:t>etc.</w:t>
            </w:r>
          </w:p>
        </w:tc>
      </w:tr>
    </w:tbl>
    <w:p w14:paraId="79135428" w14:textId="740F41A1" w:rsidR="001E16FB" w:rsidRPr="00A146FC" w:rsidRDefault="00A146FC" w:rsidP="00A146FC">
      <w:pPr>
        <w:spacing w:after="160" w:line="259" w:lineRule="auto"/>
        <w:rPr>
          <w:b/>
          <w:i/>
          <w:iCs/>
        </w:rPr>
      </w:pPr>
      <w:r>
        <w:rPr>
          <w:b/>
          <w:i/>
          <w:iCs/>
        </w:rPr>
        <w:br w:type="page"/>
      </w:r>
    </w:p>
    <w:p w14:paraId="46BE3718" w14:textId="25F84131" w:rsidR="00CF7090" w:rsidRPr="009648B4" w:rsidRDefault="00CF7090" w:rsidP="00EE3DDE">
      <w:pPr>
        <w:pStyle w:val="Listenabsatz"/>
        <w:numPr>
          <w:ilvl w:val="0"/>
          <w:numId w:val="1"/>
        </w:numPr>
        <w:ind w:left="284" w:hanging="284"/>
        <w:rPr>
          <w:b/>
        </w:rPr>
      </w:pPr>
      <w:r w:rsidRPr="009648B4">
        <w:rPr>
          <w:b/>
        </w:rPr>
        <w:t>Phase</w:t>
      </w:r>
      <w:r>
        <w:rPr>
          <w:b/>
        </w:rPr>
        <w:t>:</w:t>
      </w:r>
      <w:r w:rsidRPr="009648B4">
        <w:rPr>
          <w:b/>
        </w:rPr>
        <w:t xml:space="preserve"> </w:t>
      </w:r>
      <w:r w:rsidRPr="009648B4">
        <w:rPr>
          <w:b/>
          <w:u w:val="single"/>
        </w:rPr>
        <w:t xml:space="preserve">Lösung von Konflikten und Abweichungen (während </w:t>
      </w:r>
      <w:r w:rsidR="006D6E9D">
        <w:rPr>
          <w:b/>
          <w:u w:val="single"/>
        </w:rPr>
        <w:t xml:space="preserve">des </w:t>
      </w:r>
      <w:r w:rsidRPr="009648B4">
        <w:rPr>
          <w:b/>
          <w:u w:val="single"/>
        </w:rPr>
        <w:t>operative</w:t>
      </w:r>
      <w:r w:rsidR="006D6E9D">
        <w:rPr>
          <w:b/>
          <w:u w:val="single"/>
        </w:rPr>
        <w:t>n</w:t>
      </w:r>
      <w:r w:rsidRPr="009648B4">
        <w:rPr>
          <w:b/>
          <w:u w:val="single"/>
        </w:rPr>
        <w:t xml:space="preserve"> Betrieb</w:t>
      </w:r>
      <w:r w:rsidR="006D6E9D">
        <w:rPr>
          <w:b/>
          <w:u w:val="single"/>
        </w:rPr>
        <w:t>s</w:t>
      </w:r>
      <w:r w:rsidRPr="009648B4">
        <w:rPr>
          <w:b/>
          <w:u w:val="single"/>
        </w:rPr>
        <w:t>)</w:t>
      </w:r>
    </w:p>
    <w:p w14:paraId="647A52EE" w14:textId="77777777" w:rsidR="00B16563" w:rsidRDefault="00B16563" w:rsidP="00B16563"/>
    <w:p w14:paraId="43CC5857" w14:textId="77777777" w:rsidR="00CF7090" w:rsidRPr="00B16563" w:rsidRDefault="00B16563" w:rsidP="00B16563">
      <w:pPr>
        <w:rPr>
          <w:i/>
          <w:iCs/>
        </w:rPr>
      </w:pPr>
      <w:r>
        <w:rPr>
          <w:szCs w:val="20"/>
        </w:rPr>
        <w:t xml:space="preserve">Auf der Anlage gelten im Konfliktfall </w:t>
      </w:r>
      <w:r w:rsidR="00424BA7">
        <w:rPr>
          <w:szCs w:val="20"/>
        </w:rPr>
        <w:t xml:space="preserve">und bei Abweichungen </w:t>
      </w:r>
      <w:r>
        <w:rPr>
          <w:szCs w:val="20"/>
        </w:rPr>
        <w:t>nachfolgende Regeln und Grundsätze:</w:t>
      </w:r>
    </w:p>
    <w:p w14:paraId="1165E051" w14:textId="77777777" w:rsidR="00CF7090" w:rsidRDefault="00CF7090" w:rsidP="00CF7090">
      <w:pPr>
        <w:rPr>
          <w:i/>
        </w:rPr>
      </w:pPr>
    </w:p>
    <w:tbl>
      <w:tblPr>
        <w:tblStyle w:val="Tabellenraster"/>
        <w:tblW w:w="92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1"/>
        <w:gridCol w:w="6748"/>
      </w:tblGrid>
      <w:tr w:rsidR="00CF7090" w14:paraId="187A4FFB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0C5B4DAF" w14:textId="77777777" w:rsidR="00CF7090" w:rsidRPr="009648B4" w:rsidRDefault="00CF7090" w:rsidP="00CF7090">
            <w:pPr>
              <w:pStyle w:val="Listenabsatz"/>
              <w:numPr>
                <w:ilvl w:val="0"/>
                <w:numId w:val="7"/>
              </w:numPr>
              <w:ind w:left="358"/>
            </w:pPr>
            <w:r w:rsidRPr="009648B4">
              <w:t>Konflikte und Abweichungen</w:t>
            </w:r>
            <w:r w:rsidRPr="009648B4">
              <w:br/>
              <w:t xml:space="preserve">bei </w:t>
            </w:r>
            <w:r w:rsidRPr="009648B4">
              <w:rPr>
                <w:b/>
              </w:rPr>
              <w:t>Schiene/Schiff</w:t>
            </w:r>
          </w:p>
        </w:tc>
        <w:tc>
          <w:tcPr>
            <w:tcW w:w="6748" w:type="dxa"/>
          </w:tcPr>
          <w:p w14:paraId="4DF1F202" w14:textId="77777777" w:rsidR="00CF7090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 xml:space="preserve">Priorität </w:t>
            </w:r>
            <w:r w:rsidRPr="00467CA9">
              <w:rPr>
                <w:i/>
                <w:iCs/>
              </w:rPr>
              <w:t>für fahrplanmässige Züge</w:t>
            </w:r>
            <w:r>
              <w:rPr>
                <w:i/>
                <w:iCs/>
              </w:rPr>
              <w:t>. Verspätete Züge werden ab einer Verspätung von &gt; 1h zwischenabgestellt.</w:t>
            </w:r>
          </w:p>
          <w:p w14:paraId="55DE03C0" w14:textId="3FE9BE75" w:rsidR="00CF7090" w:rsidRPr="00C24019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>
              <w:rPr>
                <w:i/>
                <w:iCs/>
              </w:rPr>
              <w:t xml:space="preserve">Verspätungen müssen auch bei Verschulden </w:t>
            </w:r>
            <w:r w:rsidR="00C465FE">
              <w:rPr>
                <w:i/>
                <w:iCs/>
              </w:rPr>
              <w:t>Dritter</w:t>
            </w:r>
            <w:r>
              <w:rPr>
                <w:i/>
                <w:iCs/>
              </w:rPr>
              <w:t xml:space="preserve"> in sequenzieller Reihenfolge abgewickelt werden (nach Zeitpunkt des Eintreffens). Zwischenabstellungen sind in unserer Anlage nicht möglich.</w:t>
            </w:r>
          </w:p>
          <w:p w14:paraId="4142D276" w14:textId="053C5730" w:rsidR="00CF7090" w:rsidRDefault="00424BA7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851C26">
              <w:rPr>
                <w:i/>
                <w:iCs/>
              </w:rPr>
              <w:t>K</w:t>
            </w:r>
            <w:r w:rsidR="00CF7090" w:rsidRPr="00851C26">
              <w:rPr>
                <w:i/>
                <w:iCs/>
              </w:rPr>
              <w:t>onfligierende</w:t>
            </w:r>
            <w:r w:rsidR="00CF7090" w:rsidRPr="006A207E">
              <w:rPr>
                <w:i/>
                <w:iCs/>
              </w:rPr>
              <w:t xml:space="preserve"> Slots der Transporteure werden bis spätestens 1h vor </w:t>
            </w:r>
            <w:r w:rsidR="00C465FE">
              <w:rPr>
                <w:i/>
                <w:iCs/>
              </w:rPr>
              <w:t xml:space="preserve">dem </w:t>
            </w:r>
            <w:r w:rsidR="00CF7090" w:rsidRPr="006A207E">
              <w:rPr>
                <w:i/>
                <w:iCs/>
              </w:rPr>
              <w:t>vereinbarte</w:t>
            </w:r>
            <w:r w:rsidR="00C465FE">
              <w:rPr>
                <w:i/>
                <w:iCs/>
              </w:rPr>
              <w:t>n</w:t>
            </w:r>
            <w:r w:rsidR="00CF7090" w:rsidRPr="006A207E">
              <w:rPr>
                <w:i/>
                <w:iCs/>
              </w:rPr>
              <w:t xml:space="preserve"> Termin mit Verspätungsmeldung avisiert.</w:t>
            </w:r>
          </w:p>
          <w:p w14:paraId="3FFE43C2" w14:textId="6DC79EEE" w:rsidR="00CF7090" w:rsidRPr="00FA046B" w:rsidRDefault="00CF7090" w:rsidP="00A146FC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6A207E">
              <w:rPr>
                <w:i/>
                <w:iCs/>
              </w:rPr>
              <w:t>etc.</w:t>
            </w:r>
          </w:p>
        </w:tc>
      </w:tr>
      <w:tr w:rsidR="00CF7090" w14:paraId="48E32A55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275B163E" w14:textId="77777777" w:rsidR="00CF7090" w:rsidRPr="009648B4" w:rsidRDefault="00CF7090" w:rsidP="00CF7090">
            <w:pPr>
              <w:pStyle w:val="Listenabsatz"/>
              <w:numPr>
                <w:ilvl w:val="0"/>
                <w:numId w:val="7"/>
              </w:numPr>
              <w:ind w:left="358"/>
            </w:pPr>
            <w:r w:rsidRPr="009648B4">
              <w:t xml:space="preserve">Konflikte und Abweichungen bei </w:t>
            </w:r>
            <w:r w:rsidRPr="009648B4">
              <w:rPr>
                <w:b/>
              </w:rPr>
              <w:t>Transporteuren/LKW</w:t>
            </w:r>
          </w:p>
        </w:tc>
        <w:tc>
          <w:tcPr>
            <w:tcW w:w="6748" w:type="dxa"/>
          </w:tcPr>
          <w:p w14:paraId="4A4BC673" w14:textId="77777777" w:rsidR="00CF7090" w:rsidRPr="00D206FF" w:rsidRDefault="00CF7090" w:rsidP="00EE3DDE">
            <w:pPr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FA37F5">
              <w:rPr>
                <w:i/>
                <w:iCs/>
              </w:rPr>
              <w:t xml:space="preserve">Vertraglich vereinbarte </w:t>
            </w:r>
            <w:r>
              <w:rPr>
                <w:i/>
                <w:iCs/>
              </w:rPr>
              <w:t>W</w:t>
            </w:r>
            <w:r w:rsidRPr="00FA37F5">
              <w:rPr>
                <w:i/>
                <w:iCs/>
              </w:rPr>
              <w:t>enn-</w:t>
            </w:r>
            <w:r>
              <w:rPr>
                <w:i/>
                <w:iCs/>
              </w:rPr>
              <w:t>D</w:t>
            </w:r>
            <w:r w:rsidRPr="00FA37F5">
              <w:rPr>
                <w:i/>
                <w:iCs/>
              </w:rPr>
              <w:t>ann-Klausel</w:t>
            </w:r>
            <w:r>
              <w:rPr>
                <w:i/>
                <w:iCs/>
              </w:rPr>
              <w:t xml:space="preserve"> für den Fall der kurzfristigen </w:t>
            </w:r>
            <w:r w:rsidRPr="00FA37F5">
              <w:rPr>
                <w:i/>
                <w:iCs/>
              </w:rPr>
              <w:t>Umpriorisierung</w:t>
            </w:r>
            <w:r>
              <w:rPr>
                <w:i/>
                <w:iCs/>
              </w:rPr>
              <w:t xml:space="preserve"> im operativen Betrieb</w:t>
            </w:r>
            <w:r w:rsidRPr="00FA37F5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zugunsten </w:t>
            </w:r>
            <w:r w:rsidRPr="00FA37F5">
              <w:rPr>
                <w:i/>
                <w:iCs/>
              </w:rPr>
              <w:t xml:space="preserve">von Schiff/Schiene gegenüber </w:t>
            </w:r>
            <w:r>
              <w:rPr>
                <w:i/>
                <w:iCs/>
              </w:rPr>
              <w:t xml:space="preserve">bestehender </w:t>
            </w:r>
            <w:r w:rsidRPr="00FA37F5">
              <w:rPr>
                <w:i/>
                <w:iCs/>
              </w:rPr>
              <w:t>Transporteur-Buchung</w:t>
            </w:r>
            <w:r w:rsidR="00424BA7">
              <w:rPr>
                <w:i/>
                <w:iCs/>
              </w:rPr>
              <w:t>.</w:t>
            </w:r>
          </w:p>
          <w:p w14:paraId="58090843" w14:textId="76E98741" w:rsidR="00CF7090" w:rsidRDefault="00CF7090" w:rsidP="00EE3DDE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6A207E">
              <w:rPr>
                <w:i/>
                <w:iCs/>
              </w:rPr>
              <w:t>Umgang mit Abweichung der effektiven Reihenfolge am Check-in vs. Buchung im Slot- un</w:t>
            </w:r>
            <w:r w:rsidRPr="003C3604">
              <w:rPr>
                <w:i/>
                <w:iCs/>
              </w:rPr>
              <w:t>d Kapazitätsmanagement</w:t>
            </w:r>
            <w:r w:rsidR="00C465FE">
              <w:rPr>
                <w:i/>
                <w:iCs/>
              </w:rPr>
              <w:t>-</w:t>
            </w:r>
            <w:r w:rsidRPr="003C3604">
              <w:rPr>
                <w:i/>
                <w:iCs/>
              </w:rPr>
              <w:t>Tool</w:t>
            </w:r>
            <w:r>
              <w:rPr>
                <w:i/>
                <w:iCs/>
              </w:rPr>
              <w:t xml:space="preserve"> (wie kommen die Buchungen in die richtige Reihenfolge)</w:t>
            </w:r>
            <w:r w:rsidR="00424BA7">
              <w:rPr>
                <w:i/>
                <w:iCs/>
              </w:rPr>
              <w:t>.</w:t>
            </w:r>
          </w:p>
          <w:p w14:paraId="1A83AF27" w14:textId="0AB11A1C" w:rsidR="00CF7090" w:rsidRPr="00FA046B" w:rsidRDefault="00CF7090" w:rsidP="00A146FC">
            <w:pPr>
              <w:pStyle w:val="Listenabsatz"/>
              <w:numPr>
                <w:ilvl w:val="0"/>
                <w:numId w:val="2"/>
              </w:numPr>
              <w:tabs>
                <w:tab w:val="clear" w:pos="720"/>
              </w:tabs>
              <w:ind w:left="544"/>
              <w:rPr>
                <w:i/>
                <w:iCs/>
              </w:rPr>
            </w:pPr>
            <w:r w:rsidRPr="006A207E">
              <w:rPr>
                <w:i/>
                <w:iCs/>
              </w:rPr>
              <w:t>etc.</w:t>
            </w:r>
          </w:p>
        </w:tc>
      </w:tr>
      <w:tr w:rsidR="00CF7090" w14:paraId="7144474B" w14:textId="77777777" w:rsidTr="00317CBC">
        <w:tc>
          <w:tcPr>
            <w:tcW w:w="2461" w:type="dxa"/>
            <w:shd w:val="clear" w:color="auto" w:fill="F2F2F2" w:themeFill="background1" w:themeFillShade="F2"/>
          </w:tcPr>
          <w:p w14:paraId="4DDBDD70" w14:textId="77777777" w:rsidR="00CF7090" w:rsidRPr="009648B4" w:rsidRDefault="00CF7090" w:rsidP="008917BA">
            <w:pPr>
              <w:pStyle w:val="Listenabsatz"/>
              <w:ind w:left="0"/>
              <w:rPr>
                <w:b/>
              </w:rPr>
            </w:pPr>
            <w:r w:rsidRPr="009648B4">
              <w:rPr>
                <w:b/>
              </w:rPr>
              <w:t>Kontakt RailCom</w:t>
            </w:r>
          </w:p>
        </w:tc>
        <w:tc>
          <w:tcPr>
            <w:tcW w:w="6748" w:type="dxa"/>
          </w:tcPr>
          <w:p w14:paraId="06CAF45F" w14:textId="0D427658" w:rsidR="009F12E6" w:rsidRDefault="00445157" w:rsidP="008917BA">
            <w:r>
              <w:rPr>
                <w:iCs/>
              </w:rPr>
              <w:t xml:space="preserve">Treten </w:t>
            </w:r>
            <w:r w:rsidR="009B7DF9">
              <w:rPr>
                <w:iCs/>
              </w:rPr>
              <w:t>Konflikte</w:t>
            </w:r>
            <w:r>
              <w:rPr>
                <w:iCs/>
              </w:rPr>
              <w:t xml:space="preserve"> bei der Slotvergabe auf, </w:t>
            </w:r>
            <w:r w:rsidR="009B7DF9">
              <w:rPr>
                <w:iCs/>
              </w:rPr>
              <w:t xml:space="preserve">kann </w:t>
            </w:r>
            <w:r w:rsidR="00CF7090" w:rsidRPr="002717D6">
              <w:rPr>
                <w:iCs/>
              </w:rPr>
              <w:t xml:space="preserve">gegen einen Entscheid des Betreibers eine Klage oder Anzeige bei der </w:t>
            </w:r>
            <w:r w:rsidR="009B7DF9">
              <w:rPr>
                <w:iCs/>
              </w:rPr>
              <w:t xml:space="preserve">RailCom eingereicht werden. </w:t>
            </w:r>
            <w:r w:rsidR="00CF7090">
              <w:t xml:space="preserve">Unternehmen, die sich bei der Nutzung der </w:t>
            </w:r>
            <w:r w:rsidR="00A52521">
              <w:br/>
            </w:r>
            <w:r w:rsidR="00424BA7">
              <w:t>KV-Umschlagsanlage</w:t>
            </w:r>
            <w:r w:rsidR="00CF7090">
              <w:t xml:space="preserve"> diskriminiert fühlen, wenden sich an folgende Stelle: </w:t>
            </w:r>
          </w:p>
          <w:p w14:paraId="330D9C75" w14:textId="77777777" w:rsidR="009F12E6" w:rsidRDefault="009F12E6" w:rsidP="008917BA"/>
          <w:p w14:paraId="2C37F3F8" w14:textId="77F6B901" w:rsidR="009F12E6" w:rsidRDefault="00CF7090" w:rsidP="008917BA">
            <w:r w:rsidRPr="008917BA">
              <w:t>Kommission für den Eisenbahnverkehr RailCom</w:t>
            </w:r>
            <w:r>
              <w:t xml:space="preserve"> </w:t>
            </w:r>
          </w:p>
          <w:p w14:paraId="79974529" w14:textId="4F2446E3" w:rsidR="009F12E6" w:rsidRDefault="00CF7090" w:rsidP="008917BA">
            <w:r>
              <w:t xml:space="preserve">Christoffelgasse 5 </w:t>
            </w:r>
          </w:p>
          <w:p w14:paraId="3B452E74" w14:textId="72041FB0" w:rsidR="009F12E6" w:rsidRDefault="00CF7090" w:rsidP="008917BA">
            <w:r>
              <w:t xml:space="preserve">3003 Bern </w:t>
            </w:r>
          </w:p>
          <w:p w14:paraId="2340A89D" w14:textId="77777777" w:rsidR="00A52521" w:rsidRDefault="00A52521" w:rsidP="008917BA"/>
          <w:p w14:paraId="6813FC05" w14:textId="3DC03F1E" w:rsidR="009F12E6" w:rsidRDefault="00EA37DF" w:rsidP="008917BA">
            <w:hyperlink r:id="rId7" w:history="1">
              <w:r w:rsidR="009F12E6" w:rsidRPr="00C5757F">
                <w:rPr>
                  <w:rStyle w:val="Hyperlink"/>
                </w:rPr>
                <w:t>info@railcom.admin.ch</w:t>
              </w:r>
            </w:hyperlink>
            <w:r w:rsidR="00CF7090">
              <w:t xml:space="preserve"> </w:t>
            </w:r>
          </w:p>
          <w:p w14:paraId="61B82A86" w14:textId="77777777" w:rsidR="00CF7090" w:rsidRDefault="00CF7090" w:rsidP="008917BA">
            <w:pPr>
              <w:rPr>
                <w:i/>
                <w:iCs/>
              </w:rPr>
            </w:pPr>
            <w:r>
              <w:t>+41 58 463 13 00</w:t>
            </w:r>
          </w:p>
        </w:tc>
      </w:tr>
    </w:tbl>
    <w:p w14:paraId="637008AC" w14:textId="77777777" w:rsidR="005B6D65" w:rsidRPr="001B3450" w:rsidRDefault="005B6D65" w:rsidP="001B3450"/>
    <w:sectPr w:rsidR="005B6D65" w:rsidRPr="001B3450" w:rsidSect="001B3450">
      <w:footerReference w:type="default" r:id="rId8"/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3265B" w16cex:dateUtc="2022-09-19T15:33:00Z"/>
  <w16cex:commentExtensible w16cex:durableId="26D3269A" w16cex:dateUtc="2022-09-19T15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520A5B" w16cid:durableId="26D3265B"/>
  <w16cid:commentId w16cid:paraId="2DC607E2" w16cid:durableId="26D326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5B23C" w14:textId="77777777" w:rsidR="0005580D" w:rsidRDefault="0005580D" w:rsidP="00D63B2C">
      <w:pPr>
        <w:spacing w:line="240" w:lineRule="auto"/>
      </w:pPr>
      <w:r>
        <w:separator/>
      </w:r>
    </w:p>
  </w:endnote>
  <w:endnote w:type="continuationSeparator" w:id="0">
    <w:p w14:paraId="5585ED46" w14:textId="77777777" w:rsidR="0005580D" w:rsidRDefault="0005580D" w:rsidP="00D63B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7221914"/>
      <w:docPartObj>
        <w:docPartGallery w:val="Page Numbers (Bottom of Page)"/>
        <w:docPartUnique/>
      </w:docPartObj>
    </w:sdtPr>
    <w:sdtEndPr/>
    <w:sdtContent>
      <w:p w14:paraId="5D5C5BB3" w14:textId="22703CBB" w:rsidR="00D63B2C" w:rsidRDefault="00D63B2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7DF" w:rsidRPr="00EA37DF">
          <w:rPr>
            <w:noProof/>
            <w:lang w:val="de-DE"/>
          </w:rPr>
          <w:t>3</w:t>
        </w:r>
        <w:r>
          <w:fldChar w:fldCharType="end"/>
        </w:r>
      </w:p>
    </w:sdtContent>
  </w:sdt>
  <w:p w14:paraId="3B36C3CF" w14:textId="77777777" w:rsidR="00D63B2C" w:rsidRDefault="00D63B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63398" w14:textId="77777777" w:rsidR="0005580D" w:rsidRDefault="0005580D" w:rsidP="00D63B2C">
      <w:pPr>
        <w:spacing w:line="240" w:lineRule="auto"/>
      </w:pPr>
      <w:r>
        <w:separator/>
      </w:r>
    </w:p>
  </w:footnote>
  <w:footnote w:type="continuationSeparator" w:id="0">
    <w:p w14:paraId="73719F53" w14:textId="77777777" w:rsidR="0005580D" w:rsidRDefault="0005580D" w:rsidP="00D63B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F1F"/>
    <w:multiLevelType w:val="hybridMultilevel"/>
    <w:tmpl w:val="6FE8B03E"/>
    <w:lvl w:ilvl="0" w:tplc="1E3A1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7283"/>
    <w:multiLevelType w:val="hybridMultilevel"/>
    <w:tmpl w:val="1C00809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F414D"/>
    <w:multiLevelType w:val="hybridMultilevel"/>
    <w:tmpl w:val="2028019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7BE0"/>
    <w:multiLevelType w:val="hybridMultilevel"/>
    <w:tmpl w:val="0566839E"/>
    <w:lvl w:ilvl="0" w:tplc="AE265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6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68A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A9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9CC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611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BA4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868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2C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BF3DBD"/>
    <w:multiLevelType w:val="hybridMultilevel"/>
    <w:tmpl w:val="95EE6BEE"/>
    <w:lvl w:ilvl="0" w:tplc="08E2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D48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8A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0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0D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C9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A2F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44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EB64014"/>
    <w:multiLevelType w:val="hybridMultilevel"/>
    <w:tmpl w:val="89E21EE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A2512"/>
    <w:multiLevelType w:val="hybridMultilevel"/>
    <w:tmpl w:val="D9AE6F70"/>
    <w:lvl w:ilvl="0" w:tplc="C6D0D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9A0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EE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2CD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41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E9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A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4C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88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995563"/>
    <w:multiLevelType w:val="hybridMultilevel"/>
    <w:tmpl w:val="1B2A87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B1F"/>
    <w:rsid w:val="00023354"/>
    <w:rsid w:val="0005580D"/>
    <w:rsid w:val="00150378"/>
    <w:rsid w:val="001B3450"/>
    <w:rsid w:val="001E16FB"/>
    <w:rsid w:val="002F06F6"/>
    <w:rsid w:val="00317CBC"/>
    <w:rsid w:val="00341221"/>
    <w:rsid w:val="003D2D48"/>
    <w:rsid w:val="00414FC7"/>
    <w:rsid w:val="00424BA7"/>
    <w:rsid w:val="00445157"/>
    <w:rsid w:val="0045196D"/>
    <w:rsid w:val="00512452"/>
    <w:rsid w:val="0051321F"/>
    <w:rsid w:val="00541372"/>
    <w:rsid w:val="005640D1"/>
    <w:rsid w:val="005B168A"/>
    <w:rsid w:val="005B6D65"/>
    <w:rsid w:val="00606F6E"/>
    <w:rsid w:val="00613B1F"/>
    <w:rsid w:val="0066589F"/>
    <w:rsid w:val="006D2783"/>
    <w:rsid w:val="006D6E9D"/>
    <w:rsid w:val="00704492"/>
    <w:rsid w:val="00713B87"/>
    <w:rsid w:val="00742CD2"/>
    <w:rsid w:val="00761F41"/>
    <w:rsid w:val="0077509E"/>
    <w:rsid w:val="008373F4"/>
    <w:rsid w:val="00851C26"/>
    <w:rsid w:val="008C58EB"/>
    <w:rsid w:val="008F6E6D"/>
    <w:rsid w:val="00945C75"/>
    <w:rsid w:val="009941EF"/>
    <w:rsid w:val="009A2EEC"/>
    <w:rsid w:val="009B7DF9"/>
    <w:rsid w:val="009F12E6"/>
    <w:rsid w:val="009F320F"/>
    <w:rsid w:val="00A146FC"/>
    <w:rsid w:val="00A21CDB"/>
    <w:rsid w:val="00A374C9"/>
    <w:rsid w:val="00A52521"/>
    <w:rsid w:val="00AC6E1E"/>
    <w:rsid w:val="00AE007C"/>
    <w:rsid w:val="00B16563"/>
    <w:rsid w:val="00B63E1C"/>
    <w:rsid w:val="00B83117"/>
    <w:rsid w:val="00C465FE"/>
    <w:rsid w:val="00CE57A1"/>
    <w:rsid w:val="00CF7090"/>
    <w:rsid w:val="00D41804"/>
    <w:rsid w:val="00D63B2C"/>
    <w:rsid w:val="00D6629D"/>
    <w:rsid w:val="00D94407"/>
    <w:rsid w:val="00E35F3F"/>
    <w:rsid w:val="00E64520"/>
    <w:rsid w:val="00E7700F"/>
    <w:rsid w:val="00EA37DF"/>
    <w:rsid w:val="00EB0E4C"/>
    <w:rsid w:val="00EB551A"/>
    <w:rsid w:val="00EE3DDE"/>
    <w:rsid w:val="00F06048"/>
    <w:rsid w:val="00F4160F"/>
    <w:rsid w:val="00F73FB8"/>
    <w:rsid w:val="00F91702"/>
    <w:rsid w:val="00FA046B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58EC9C"/>
  <w15:chartTrackingRefBased/>
  <w15:docId w15:val="{B645EC03-CFA6-4FC6-AED9-13ED56E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7090"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7090"/>
    <w:pPr>
      <w:ind w:left="720"/>
      <w:contextualSpacing/>
    </w:pPr>
  </w:style>
  <w:style w:type="table" w:styleId="Tabellenraster">
    <w:name w:val="Table Grid"/>
    <w:basedOn w:val="NormaleTabelle"/>
    <w:uiPriority w:val="39"/>
    <w:rsid w:val="00CF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F70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09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090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70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709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1C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1CDB"/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F12E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3B2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B2C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63B2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B2C"/>
    <w:rPr>
      <w:rFonts w:ascii="Arial" w:hAnsi="Arial" w:cs="Arial"/>
      <w:sz w:val="20"/>
    </w:rPr>
  </w:style>
  <w:style w:type="paragraph" w:styleId="Textkrper">
    <w:name w:val="Body Text"/>
    <w:aliases w:val="_Text"/>
    <w:basedOn w:val="Standard"/>
    <w:link w:val="TextkrperZchn"/>
    <w:qFormat/>
    <w:rsid w:val="008C58EB"/>
    <w:pPr>
      <w:spacing w:after="260"/>
    </w:pPr>
    <w:rPr>
      <w:rFonts w:asciiTheme="minorHAnsi" w:hAnsiTheme="minorHAnsi" w:cstheme="minorBidi"/>
      <w:szCs w:val="20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8C58EB"/>
    <w:rPr>
      <w:sz w:val="20"/>
      <w:szCs w:val="20"/>
    </w:rPr>
  </w:style>
  <w:style w:type="paragraph" w:styleId="berarbeitung">
    <w:name w:val="Revision"/>
    <w:hidden/>
    <w:uiPriority w:val="99"/>
    <w:semiHidden/>
    <w:rsid w:val="00CE57A1"/>
    <w:pPr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ailcom.admin.ch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 Ken RailCom</dc:creator>
  <cp:keywords/>
  <dc:description/>
  <cp:lastModifiedBy>Suter-Burri Katrin RailCom</cp:lastModifiedBy>
  <cp:revision>2</cp:revision>
  <dcterms:created xsi:type="dcterms:W3CDTF">2022-09-21T06:33:00Z</dcterms:created>
  <dcterms:modified xsi:type="dcterms:W3CDTF">2022-09-21T06:33:00Z</dcterms:modified>
</cp:coreProperties>
</file>