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3DC27" w14:textId="19423679" w:rsidR="00713B87" w:rsidRDefault="00D63B2C" w:rsidP="00D63B2C">
      <w:pPr>
        <w:spacing w:after="120"/>
        <w:rPr>
          <w:u w:val="single"/>
        </w:rPr>
      </w:pPr>
      <w:bookmarkStart w:id="0" w:name="_GoBack"/>
      <w:bookmarkEnd w:id="0"/>
      <w:r>
        <w:rPr>
          <w:b/>
          <w:sz w:val="22"/>
        </w:rPr>
        <w:t>« Publication en matière de planification et d’attribution des sillons pour les installations de transbordement TC »</w:t>
      </w:r>
      <w:r>
        <w:rPr>
          <w:sz w:val="22"/>
        </w:rPr>
        <w:t xml:space="preserve"> </w:t>
      </w:r>
    </w:p>
    <w:p w14:paraId="002BFAB5" w14:textId="7B92105B" w:rsidR="00D63B2C" w:rsidRDefault="00713B87" w:rsidP="00D63B2C">
      <w:pPr>
        <w:spacing w:after="120"/>
      </w:pPr>
      <w:r>
        <w:rPr>
          <w:sz w:val="22"/>
        </w:rPr>
        <w:t>Instructions pour remplir le formulaire</w:t>
      </w:r>
    </w:p>
    <w:p w14:paraId="323DB08C" w14:textId="77777777" w:rsidR="00D63B2C" w:rsidRDefault="00D63B2C" w:rsidP="00D63B2C"/>
    <w:p w14:paraId="03AAA695" w14:textId="4D7D263B" w:rsidR="00D63B2C" w:rsidRPr="002B3FEE" w:rsidRDefault="00D63B2C" w:rsidP="00EE3DDE">
      <w:pPr>
        <w:jc w:val="both"/>
      </w:pPr>
      <w:r>
        <w:t>Voici le formulaire à remplir pour chaque installation de transbordement TC cofinancée par la Confédération. Il est possible de ne remplir qu’un seul document si les mêmes règles s’appliquent à plusieurs/toutes les installations.</w:t>
      </w:r>
    </w:p>
    <w:p w14:paraId="44C55B13" w14:textId="77777777" w:rsidR="00D63B2C" w:rsidRDefault="00D63B2C" w:rsidP="00D63B2C">
      <w:pPr>
        <w:rPr>
          <w:u w:val="single"/>
        </w:rPr>
      </w:pPr>
    </w:p>
    <w:p w14:paraId="6243C38A" w14:textId="148B0243" w:rsidR="00D63B2C" w:rsidRDefault="00D63B2C" w:rsidP="00EE3DDE">
      <w:pPr>
        <w:jc w:val="both"/>
      </w:pPr>
      <w:r>
        <w:t>Veuillez remplir les tableaux ci-dessous avec les règles spécifiques à la gestion des sillons et les règles qui s’appliquent en cas de divergences et de conflits dans les activités quotidiennes de votre installation. Pour ce faire :</w:t>
      </w:r>
    </w:p>
    <w:p w14:paraId="5CB16497" w14:textId="77777777" w:rsidR="00D63B2C" w:rsidRDefault="00D63B2C" w:rsidP="00D63B2C"/>
    <w:p w14:paraId="1C6CDE6F" w14:textId="2759E5C7" w:rsidR="00D63B2C" w:rsidRDefault="00D63B2C" w:rsidP="00512452">
      <w:pPr>
        <w:pStyle w:val="Listenabsatz"/>
        <w:numPr>
          <w:ilvl w:val="0"/>
          <w:numId w:val="8"/>
        </w:numPr>
      </w:pPr>
      <w:r>
        <w:t>Indiquez le nom de l’installation, son emplacement, la date et la date de création ou de la dernière modification.</w:t>
      </w:r>
    </w:p>
    <w:p w14:paraId="179DF92E" w14:textId="77777777" w:rsidR="00D63B2C" w:rsidRDefault="00D63B2C" w:rsidP="00EE3DDE">
      <w:pPr>
        <w:pStyle w:val="Listenabsatz"/>
        <w:jc w:val="both"/>
      </w:pPr>
    </w:p>
    <w:p w14:paraId="226D1DAC" w14:textId="431901BB" w:rsidR="00D63B2C" w:rsidRPr="00156646" w:rsidRDefault="00D63B2C" w:rsidP="00EE3DDE">
      <w:pPr>
        <w:pStyle w:val="Listenabsatz"/>
        <w:jc w:val="both"/>
        <w:rPr>
          <w:b/>
        </w:rPr>
      </w:pPr>
      <w:r>
        <w:rPr>
          <w:b/>
        </w:rPr>
        <w:t>Planification et attribution des sillons (1</w:t>
      </w:r>
      <w:r>
        <w:rPr>
          <w:b/>
          <w:vertAlign w:val="superscript"/>
        </w:rPr>
        <w:t>ère</w:t>
      </w:r>
      <w:r>
        <w:rPr>
          <w:b/>
        </w:rPr>
        <w:t xml:space="preserve"> étape)</w:t>
      </w:r>
    </w:p>
    <w:p w14:paraId="4F181FA8" w14:textId="3B148660" w:rsidR="00D63B2C" w:rsidRDefault="00D63B2C" w:rsidP="00EE3DDE">
      <w:pPr>
        <w:pStyle w:val="Listenabsatz"/>
        <w:numPr>
          <w:ilvl w:val="0"/>
          <w:numId w:val="8"/>
        </w:numPr>
        <w:jc w:val="both"/>
      </w:pPr>
      <w:r>
        <w:t>Indiquez comment vous attribuez/adjugez et gérez les sillons et comment vous gérez les nouvelles demandes. Expliquez les principes appliqués dans ce contexte.</w:t>
      </w:r>
    </w:p>
    <w:p w14:paraId="6B835781" w14:textId="3B4896C8" w:rsidR="00D63B2C" w:rsidRDefault="00512452" w:rsidP="00EE3DDE">
      <w:pPr>
        <w:pStyle w:val="Listenabsatz"/>
        <w:numPr>
          <w:ilvl w:val="0"/>
          <w:numId w:val="8"/>
        </w:numPr>
        <w:jc w:val="both"/>
      </w:pPr>
      <w:r>
        <w:t>Faites la distinction entre les opérations d’opérateurs, qui, en particulier sur le rail, nécessitent un certain délai dans la planification et l’attribution des sillons chez les transporteurs.</w:t>
      </w:r>
    </w:p>
    <w:p w14:paraId="28C0EA26" w14:textId="77777777" w:rsidR="00D63B2C" w:rsidRDefault="00D63B2C" w:rsidP="00D63B2C"/>
    <w:p w14:paraId="0BE37811" w14:textId="309358D3" w:rsidR="00D63B2C" w:rsidRPr="00156646" w:rsidRDefault="00D63B2C" w:rsidP="00D63B2C">
      <w:pPr>
        <w:ind w:firstLine="708"/>
        <w:rPr>
          <w:b/>
        </w:rPr>
      </w:pPr>
      <w:r>
        <w:rPr>
          <w:b/>
        </w:rPr>
        <w:t>Résolution des conflits et des divergences (2</w:t>
      </w:r>
      <w:r>
        <w:rPr>
          <w:b/>
          <w:vertAlign w:val="superscript"/>
        </w:rPr>
        <w:t>e</w:t>
      </w:r>
      <w:r>
        <w:rPr>
          <w:b/>
        </w:rPr>
        <w:t> étape)</w:t>
      </w:r>
    </w:p>
    <w:p w14:paraId="3081E9DC" w14:textId="4D86D085" w:rsidR="00D63B2C" w:rsidRDefault="00D63B2C" w:rsidP="00EE3DDE">
      <w:pPr>
        <w:pStyle w:val="Listenabsatz"/>
        <w:numPr>
          <w:ilvl w:val="0"/>
          <w:numId w:val="8"/>
        </w:numPr>
        <w:jc w:val="both"/>
      </w:pPr>
      <w:r>
        <w:t>Expliquez comment votre entreprise réagit aux conflits et en cas de divergences. Quels sont alors les trafics qui sont p. ex. traités en priorité par rapport à d’autres ? De quelle manière affectez-vous vos ressources ? Comment vous coordonnez-vous avec les groupes concernés sur votre installation ?</w:t>
      </w:r>
    </w:p>
    <w:p w14:paraId="1D6CAD6E" w14:textId="1E9FB3BE" w:rsidR="00D63B2C" w:rsidRDefault="00512452" w:rsidP="00EE3DDE">
      <w:pPr>
        <w:pStyle w:val="Listenabsatz"/>
        <w:numPr>
          <w:ilvl w:val="0"/>
          <w:numId w:val="8"/>
        </w:numPr>
        <w:jc w:val="both"/>
      </w:pPr>
      <w:r>
        <w:t>Différenciez-vous alors entre les opérateurs et les transporteurs ?</w:t>
      </w:r>
    </w:p>
    <w:p w14:paraId="6D460B22" w14:textId="77777777" w:rsidR="00D63B2C" w:rsidRDefault="00D63B2C" w:rsidP="00EE3DDE">
      <w:pPr>
        <w:pStyle w:val="Listenabsatz"/>
        <w:numPr>
          <w:ilvl w:val="0"/>
          <w:numId w:val="8"/>
        </w:numPr>
        <w:jc w:val="both"/>
      </w:pPr>
      <w:r>
        <w:t>Publiez le formulaire rempli sur votre site web, de manière à ce qu’il soit facile à trouver, ainsi que les conditions d’accès.</w:t>
      </w:r>
    </w:p>
    <w:p w14:paraId="332614B5" w14:textId="77777777" w:rsidR="00D63B2C" w:rsidRDefault="00D63B2C" w:rsidP="00EE3DDE">
      <w:pPr>
        <w:pStyle w:val="Listenabsatz"/>
        <w:numPr>
          <w:ilvl w:val="0"/>
          <w:numId w:val="8"/>
        </w:numPr>
        <w:jc w:val="both"/>
      </w:pPr>
      <w:r>
        <w:t xml:space="preserve">Indiquez à la RailCom le lien vers le tableau publié avant le </w:t>
      </w:r>
      <w:r>
        <w:rPr>
          <w:b/>
        </w:rPr>
        <w:t xml:space="preserve">31.12.2022 </w:t>
      </w:r>
      <w:r>
        <w:t>(info@railcom.admin.ch).</w:t>
      </w:r>
    </w:p>
    <w:p w14:paraId="56F5393F" w14:textId="77777777" w:rsidR="00D63B2C" w:rsidRDefault="00D63B2C" w:rsidP="00EE3DDE">
      <w:pPr>
        <w:spacing w:after="160" w:line="259" w:lineRule="auto"/>
        <w:jc w:val="both"/>
        <w:rPr>
          <w:b/>
          <w:bCs/>
          <w:i/>
          <w:sz w:val="22"/>
        </w:rPr>
      </w:pPr>
    </w:p>
    <w:p w14:paraId="18A20965" w14:textId="0986647C" w:rsidR="00606F6E" w:rsidRDefault="00EB551A" w:rsidP="00AC6E1E">
      <w:pPr>
        <w:jc w:val="both"/>
        <w:rPr>
          <w:i/>
          <w:iCs/>
          <w:u w:val="single"/>
        </w:rPr>
      </w:pPr>
      <w:r>
        <w:t xml:space="preserve">Les exemples apparaissant en italique dans le formulaire illustrent des règles possibles de planification et d’attribution des sillons ou des règles de conflit possibles. </w:t>
      </w:r>
      <w:r>
        <w:rPr>
          <w:u w:val="single"/>
        </w:rPr>
        <w:t>Veuillez insérer votre propre règlement. Les exemples en italique ne sont que des suggestions et peuvent être modifiés ou supprimés.</w:t>
      </w:r>
    </w:p>
    <w:p w14:paraId="1B4F2390" w14:textId="77777777" w:rsidR="00606F6E" w:rsidRDefault="00606F6E" w:rsidP="00AC6E1E">
      <w:pPr>
        <w:jc w:val="both"/>
        <w:rPr>
          <w:i/>
          <w:iCs/>
          <w:u w:val="single"/>
        </w:rPr>
      </w:pPr>
    </w:p>
    <w:p w14:paraId="461403CF" w14:textId="77777777" w:rsidR="00606F6E" w:rsidRDefault="00606F6E" w:rsidP="00AC6E1E">
      <w:pPr>
        <w:rPr>
          <w:iCs/>
        </w:rPr>
      </w:pPr>
    </w:p>
    <w:p w14:paraId="08E2F465" w14:textId="77777777" w:rsidR="00606F6E" w:rsidRDefault="00606F6E" w:rsidP="00AC6E1E">
      <w:pPr>
        <w:rPr>
          <w:iCs/>
        </w:rPr>
      </w:pPr>
    </w:p>
    <w:p w14:paraId="05C67227" w14:textId="42028462" w:rsidR="00606F6E" w:rsidRPr="00EB551A" w:rsidRDefault="00606F6E" w:rsidP="00AC6E1E">
      <w:pPr>
        <w:jc w:val="both"/>
        <w:rPr>
          <w:b/>
          <w:iCs/>
        </w:rPr>
      </w:pPr>
      <w:r>
        <w:rPr>
          <w:b/>
        </w:rPr>
        <w:t>Remarque : veuillez supprimer les instructions (première page du présent document) avant de publier les principes.</w:t>
      </w:r>
    </w:p>
    <w:p w14:paraId="29160322" w14:textId="77777777" w:rsidR="00D63B2C" w:rsidRDefault="00D63B2C" w:rsidP="00CF7090">
      <w:pPr>
        <w:spacing w:after="160" w:line="259" w:lineRule="auto"/>
        <w:rPr>
          <w:b/>
          <w:bCs/>
          <w:i/>
          <w:sz w:val="22"/>
        </w:rPr>
      </w:pPr>
    </w:p>
    <w:p w14:paraId="4C82F556" w14:textId="77777777" w:rsidR="00D63B2C" w:rsidRDefault="00D63B2C" w:rsidP="00CF7090">
      <w:pPr>
        <w:spacing w:after="160" w:line="259" w:lineRule="auto"/>
        <w:rPr>
          <w:b/>
          <w:bCs/>
          <w:i/>
          <w:sz w:val="22"/>
        </w:rPr>
      </w:pPr>
    </w:p>
    <w:p w14:paraId="570AB0BE" w14:textId="77777777" w:rsidR="00D63B2C" w:rsidRDefault="00D63B2C">
      <w:pPr>
        <w:spacing w:after="160" w:line="259" w:lineRule="auto"/>
        <w:rPr>
          <w:b/>
          <w:bCs/>
          <w:i/>
          <w:sz w:val="22"/>
        </w:rPr>
      </w:pPr>
      <w:r>
        <w:rPr>
          <w:sz w:val="22"/>
        </w:rPr>
        <w:br w:type="page"/>
      </w:r>
    </w:p>
    <w:p w14:paraId="502B5452" w14:textId="11C3BBB5" w:rsidR="00D63B2C" w:rsidRPr="00D6629D" w:rsidRDefault="00D63B2C" w:rsidP="00CF7090">
      <w:pPr>
        <w:spacing w:after="160" w:line="259" w:lineRule="auto"/>
        <w:rPr>
          <w:b/>
          <w:bCs/>
          <w:sz w:val="22"/>
        </w:rPr>
      </w:pPr>
      <w:r>
        <w:rPr>
          <w:b/>
          <w:sz w:val="22"/>
        </w:rPr>
        <w:lastRenderedPageBreak/>
        <w:t>Publication en matière de planification et d’attribution des sillons pour les installations de transbordement TC</w:t>
      </w:r>
    </w:p>
    <w:p w14:paraId="5CA79618" w14:textId="502BA746" w:rsidR="00E64520" w:rsidRPr="00E35F3F" w:rsidRDefault="00E64520" w:rsidP="00317CBC">
      <w:pPr>
        <w:pBdr>
          <w:top w:val="single" w:sz="4" w:space="1" w:color="auto"/>
          <w:left w:val="single" w:sz="4" w:space="0" w:color="auto"/>
          <w:bottom w:val="single" w:sz="4" w:space="1" w:color="auto"/>
          <w:right w:val="single" w:sz="4" w:space="8" w:color="auto"/>
        </w:pBdr>
        <w:spacing w:before="120"/>
      </w:pPr>
      <w:r>
        <w:t xml:space="preserve"> Nom de l’installation :</w:t>
      </w:r>
    </w:p>
    <w:p w14:paraId="6BE33F9E" w14:textId="6B1A07CB" w:rsidR="00CF7090" w:rsidRPr="00E35F3F" w:rsidRDefault="00E64520" w:rsidP="00317CBC">
      <w:pPr>
        <w:pBdr>
          <w:top w:val="single" w:sz="4" w:space="1" w:color="auto"/>
          <w:left w:val="single" w:sz="4" w:space="0" w:color="auto"/>
          <w:bottom w:val="single" w:sz="4" w:space="1" w:color="auto"/>
          <w:right w:val="single" w:sz="4" w:space="8" w:color="auto"/>
        </w:pBdr>
      </w:pPr>
      <w:r>
        <w:t xml:space="preserve"> Emplacement de l’installation :</w:t>
      </w:r>
    </w:p>
    <w:p w14:paraId="68ADB304" w14:textId="40085C86" w:rsidR="009941EF" w:rsidRPr="00E35F3F" w:rsidRDefault="00E64520" w:rsidP="00317CBC">
      <w:pPr>
        <w:pBdr>
          <w:top w:val="single" w:sz="4" w:space="1" w:color="auto"/>
          <w:left w:val="single" w:sz="4" w:space="0" w:color="auto"/>
          <w:bottom w:val="single" w:sz="4" w:space="1" w:color="auto"/>
          <w:right w:val="single" w:sz="4" w:space="8" w:color="auto"/>
        </w:pBdr>
        <w:spacing w:after="120"/>
      </w:pPr>
      <w:r>
        <w:t xml:space="preserve"> Date de création :</w:t>
      </w:r>
    </w:p>
    <w:p w14:paraId="1B104190" w14:textId="77777777" w:rsidR="00E35F3F" w:rsidRDefault="00E35F3F" w:rsidP="00CF7090">
      <w:pPr>
        <w:rPr>
          <w:i/>
        </w:rPr>
      </w:pPr>
    </w:p>
    <w:p w14:paraId="080C704F" w14:textId="1BBA013B" w:rsidR="00CF7090" w:rsidRPr="009648B4" w:rsidRDefault="00CF7090" w:rsidP="00A52521">
      <w:pPr>
        <w:pStyle w:val="Listenabsatz"/>
        <w:numPr>
          <w:ilvl w:val="0"/>
          <w:numId w:val="1"/>
        </w:numPr>
        <w:ind w:left="284" w:hanging="284"/>
        <w:rPr>
          <w:b/>
        </w:rPr>
      </w:pPr>
      <w:r>
        <w:rPr>
          <w:b/>
        </w:rPr>
        <w:t xml:space="preserve">Étape : </w:t>
      </w:r>
      <w:r>
        <w:rPr>
          <w:b/>
          <w:u w:val="single"/>
        </w:rPr>
        <w:t>planification et attribution des sillons (avant l’exploitation opérationnelle)</w:t>
      </w:r>
    </w:p>
    <w:p w14:paraId="603D4D5B" w14:textId="77777777" w:rsidR="00CF7090" w:rsidRDefault="00CF7090" w:rsidP="00606F6E"/>
    <w:p w14:paraId="6839BA63" w14:textId="788905FD" w:rsidR="00CF7090" w:rsidRDefault="008C58EB" w:rsidP="00AC6E1E">
      <w:r>
        <w:t>Notre installation est en principe accessible à toutes les personnes intéressées, qu’il s’agisse d’opérateurs ou de transporteurs. Si la rentabilité d’un nouveau trafic le justifie, nous réexaminerons les heures d’ouverture de notre installation et les adapterons si nécessaire.</w:t>
      </w:r>
    </w:p>
    <w:p w14:paraId="3BB7AF6D" w14:textId="77777777" w:rsidR="00AC6E1E" w:rsidRDefault="00AC6E1E" w:rsidP="00AC6E1E">
      <w:pPr>
        <w:rPr>
          <w:b/>
          <w:i/>
        </w:rPr>
      </w:pPr>
    </w:p>
    <w:p w14:paraId="09B046E7" w14:textId="4935AC71" w:rsidR="00F73FB8" w:rsidRPr="009648B4" w:rsidRDefault="00F73FB8" w:rsidP="00B63E1C">
      <w:pPr>
        <w:rPr>
          <w:i/>
          <w:iCs/>
        </w:rPr>
      </w:pPr>
      <w:r>
        <w:t>Les règles suivantes s’appliquent sur l’installation en matière d’attribution des sillons :</w:t>
      </w:r>
    </w:p>
    <w:p w14:paraId="4A9CC4B7" w14:textId="77777777" w:rsidR="00F73FB8" w:rsidRPr="006B1A9A" w:rsidRDefault="00F73FB8" w:rsidP="00CF7090">
      <w:pPr>
        <w:ind w:left="360"/>
        <w:rPr>
          <w:b/>
          <w:i/>
        </w:rPr>
      </w:pPr>
    </w:p>
    <w:tbl>
      <w:tblPr>
        <w:tblStyle w:val="Tabellenraster"/>
        <w:tblW w:w="9201" w:type="dxa"/>
        <w:tblCellMar>
          <w:top w:w="57" w:type="dxa"/>
          <w:left w:w="57" w:type="dxa"/>
          <w:bottom w:w="57" w:type="dxa"/>
          <w:right w:w="57" w:type="dxa"/>
        </w:tblCellMar>
        <w:tblLook w:val="04A0" w:firstRow="1" w:lastRow="0" w:firstColumn="1" w:lastColumn="0" w:noHBand="0" w:noVBand="1"/>
      </w:tblPr>
      <w:tblGrid>
        <w:gridCol w:w="2232"/>
        <w:gridCol w:w="6969"/>
      </w:tblGrid>
      <w:tr w:rsidR="00CF7090" w14:paraId="69B5D72D" w14:textId="77777777" w:rsidTr="00A146FC">
        <w:tc>
          <w:tcPr>
            <w:tcW w:w="2232" w:type="dxa"/>
            <w:shd w:val="clear" w:color="auto" w:fill="F2F2F2" w:themeFill="background1" w:themeFillShade="F2"/>
          </w:tcPr>
          <w:p w14:paraId="7B336E2E" w14:textId="26DC2626" w:rsidR="00CF7090" w:rsidRPr="009648B4" w:rsidRDefault="00CF7090" w:rsidP="00CF7090">
            <w:pPr>
              <w:pStyle w:val="Listenabsatz"/>
              <w:numPr>
                <w:ilvl w:val="0"/>
                <w:numId w:val="3"/>
              </w:numPr>
              <w:ind w:left="358" w:right="381"/>
            </w:pPr>
            <w:r>
              <w:t xml:space="preserve">Planification et attribution des sillons </w:t>
            </w:r>
            <w:r>
              <w:rPr>
                <w:b/>
              </w:rPr>
              <w:t>rail</w:t>
            </w:r>
            <w:r w:rsidR="009262EA">
              <w:rPr>
                <w:b/>
              </w:rPr>
              <w:t xml:space="preserve"> </w:t>
            </w:r>
            <w:r>
              <w:rPr>
                <w:b/>
              </w:rPr>
              <w:t>/</w:t>
            </w:r>
            <w:r w:rsidR="009262EA">
              <w:rPr>
                <w:b/>
              </w:rPr>
              <w:t xml:space="preserve"> </w:t>
            </w:r>
            <w:r>
              <w:rPr>
                <w:b/>
              </w:rPr>
              <w:t>navigation</w:t>
            </w:r>
          </w:p>
          <w:p w14:paraId="7F16C268" w14:textId="77777777" w:rsidR="00CF7090" w:rsidRDefault="00CF7090" w:rsidP="008917BA">
            <w:pPr>
              <w:spacing w:line="240" w:lineRule="auto"/>
              <w:rPr>
                <w:i/>
              </w:rPr>
            </w:pPr>
          </w:p>
        </w:tc>
        <w:tc>
          <w:tcPr>
            <w:tcW w:w="6969" w:type="dxa"/>
          </w:tcPr>
          <w:p w14:paraId="0909EE6F" w14:textId="51579EE9" w:rsidR="00CF7090" w:rsidRDefault="00CF7090" w:rsidP="00B83117">
            <w:pPr>
              <w:numPr>
                <w:ilvl w:val="0"/>
                <w:numId w:val="2"/>
              </w:numPr>
              <w:tabs>
                <w:tab w:val="clear" w:pos="720"/>
              </w:tabs>
              <w:ind w:left="544"/>
              <w:rPr>
                <w:i/>
                <w:iCs/>
              </w:rPr>
            </w:pPr>
            <w:r>
              <w:rPr>
                <w:i/>
              </w:rPr>
              <w:t>L’attribution de nos sillons se fait selon le principe du « premier arrivé, premier servi » ou « premier qui commande, premier servi ».</w:t>
            </w:r>
          </w:p>
          <w:p w14:paraId="5D0CBFBC" w14:textId="77777777" w:rsidR="00CF7090" w:rsidRPr="00411FE2" w:rsidRDefault="00CF7090" w:rsidP="00B83117">
            <w:pPr>
              <w:numPr>
                <w:ilvl w:val="0"/>
                <w:numId w:val="2"/>
              </w:numPr>
              <w:tabs>
                <w:tab w:val="clear" w:pos="720"/>
              </w:tabs>
              <w:ind w:left="544"/>
              <w:rPr>
                <w:i/>
                <w:iCs/>
              </w:rPr>
            </w:pPr>
            <w:r>
              <w:rPr>
                <w:i/>
              </w:rPr>
              <w:t xml:space="preserve">Dans le cadre de l’attribution des sillons pour de nouveaux trafics concernant le rail, nous proposons des alternatives à la personne intéressée. </w:t>
            </w:r>
          </w:p>
          <w:p w14:paraId="4D247DF7" w14:textId="04304FA2" w:rsidR="00E7700F" w:rsidRDefault="00E7700F" w:rsidP="00B83117">
            <w:pPr>
              <w:numPr>
                <w:ilvl w:val="0"/>
                <w:numId w:val="2"/>
              </w:numPr>
              <w:tabs>
                <w:tab w:val="clear" w:pos="720"/>
              </w:tabs>
              <w:ind w:left="544"/>
              <w:rPr>
                <w:i/>
                <w:iCs/>
              </w:rPr>
            </w:pPr>
            <w:r>
              <w:rPr>
                <w:i/>
              </w:rPr>
              <w:t>En cas de première/nouvelle demande, l’attribution des sillons existante entre les opérateurs est généralement vérifiée et, si possible, améliorée et réattribuée dans l’intérêt de toutes les personnes concernées. Si aucun accord n’est trouvé, une attribution des sillons est effectuée en tenant compte des volumes de trafic et de la contribution de couverture.</w:t>
            </w:r>
          </w:p>
          <w:p w14:paraId="0C015170" w14:textId="77777777" w:rsidR="00CF7090" w:rsidRPr="00411FE2" w:rsidRDefault="00CF7090" w:rsidP="00B83117">
            <w:pPr>
              <w:numPr>
                <w:ilvl w:val="0"/>
                <w:numId w:val="2"/>
              </w:numPr>
              <w:tabs>
                <w:tab w:val="clear" w:pos="720"/>
              </w:tabs>
              <w:ind w:left="544"/>
              <w:rPr>
                <w:i/>
                <w:iCs/>
              </w:rPr>
            </w:pPr>
            <w:r>
              <w:rPr>
                <w:i/>
              </w:rPr>
              <w:t>Pour mettre en œuvre de nouveaux trafics, nous avons généralement besoin d’un préavis de deux mois.</w:t>
            </w:r>
          </w:p>
          <w:p w14:paraId="299DEDF6" w14:textId="77777777" w:rsidR="00CF7090" w:rsidRPr="00F23C9F" w:rsidRDefault="00CF7090" w:rsidP="00B83117">
            <w:pPr>
              <w:numPr>
                <w:ilvl w:val="0"/>
                <w:numId w:val="2"/>
              </w:numPr>
              <w:tabs>
                <w:tab w:val="clear" w:pos="720"/>
              </w:tabs>
              <w:ind w:left="544"/>
              <w:rPr>
                <w:i/>
              </w:rPr>
            </w:pPr>
            <w:r>
              <w:rPr>
                <w:i/>
              </w:rPr>
              <w:t xml:space="preserve">Nous vérifions s’il faut adapter les horaires d’ouverture si cela génère de nouveaux trafics rentables et durables. </w:t>
            </w:r>
          </w:p>
          <w:p w14:paraId="2ABEB9A8" w14:textId="1C9207FE" w:rsidR="00CF7090" w:rsidRPr="00411FE2" w:rsidRDefault="00CF7090" w:rsidP="00B83117">
            <w:pPr>
              <w:numPr>
                <w:ilvl w:val="0"/>
                <w:numId w:val="2"/>
              </w:numPr>
              <w:tabs>
                <w:tab w:val="clear" w:pos="720"/>
              </w:tabs>
              <w:ind w:left="544"/>
              <w:rPr>
                <w:i/>
              </w:rPr>
            </w:pPr>
            <w:r>
              <w:rPr>
                <w:i/>
              </w:rPr>
              <w:t>Les sillons pour la navigation sont demandés via le système d’annonce des bateaux RPIS (RheinPorts Information System),</w:t>
            </w:r>
            <w:r w:rsidR="009262EA">
              <w:rPr>
                <w:i/>
              </w:rPr>
              <w:t xml:space="preserve"> </w:t>
            </w:r>
            <w:r>
              <w:rPr>
                <w:i/>
              </w:rPr>
              <w:t>puis contrôlés et confirmés par nos soins.</w:t>
            </w:r>
          </w:p>
          <w:p w14:paraId="71E519DA" w14:textId="48731B14" w:rsidR="00CF7090" w:rsidRPr="003F6C06" w:rsidRDefault="00CF7090" w:rsidP="00B83117">
            <w:pPr>
              <w:pStyle w:val="Listenabsatz"/>
              <w:numPr>
                <w:ilvl w:val="0"/>
                <w:numId w:val="2"/>
              </w:numPr>
              <w:tabs>
                <w:tab w:val="clear" w:pos="720"/>
              </w:tabs>
              <w:ind w:left="544"/>
              <w:rPr>
                <w:i/>
                <w:iCs/>
              </w:rPr>
            </w:pPr>
            <w:r>
              <w:rPr>
                <w:i/>
              </w:rPr>
              <w:t xml:space="preserve">Nous préparons habituellement les commandes concernant la navigation /le rail le soir dès 18 h 00 et pendant la nuit (compte tenu de l’interdiction de circuler la nuit, dérangements nocturnes, </w:t>
            </w:r>
            <w:r w:rsidR="009262EA">
              <w:rPr>
                <w:i/>
              </w:rPr>
              <w:t>etc.</w:t>
            </w:r>
            <w:r>
              <w:rPr>
                <w:i/>
              </w:rPr>
              <w:t xml:space="preserve">). </w:t>
            </w:r>
          </w:p>
          <w:p w14:paraId="7D1DA665" w14:textId="3A950DA7" w:rsidR="00CF7090" w:rsidRPr="00606F6E" w:rsidRDefault="00CF7090" w:rsidP="00B83117">
            <w:pPr>
              <w:pStyle w:val="Listenabsatz"/>
              <w:numPr>
                <w:ilvl w:val="0"/>
                <w:numId w:val="2"/>
              </w:numPr>
              <w:tabs>
                <w:tab w:val="clear" w:pos="720"/>
              </w:tabs>
              <w:ind w:left="544"/>
              <w:rPr>
                <w:i/>
                <w:iCs/>
              </w:rPr>
            </w:pPr>
            <w:r>
              <w:rPr>
                <w:i/>
              </w:rPr>
              <w:t>Afin de répondre aux besoins des clients, nous traitons dans la planification en priorité les conteneurs qui doivent être exportés le jour même (trafic de réexpédition).</w:t>
            </w:r>
          </w:p>
          <w:p w14:paraId="19E462FA" w14:textId="297EE0B2" w:rsidR="00CF7090" w:rsidRPr="00D206FF" w:rsidRDefault="00CF7090" w:rsidP="00A146FC">
            <w:pPr>
              <w:pStyle w:val="Listenabsatz"/>
              <w:numPr>
                <w:ilvl w:val="0"/>
                <w:numId w:val="2"/>
              </w:numPr>
              <w:tabs>
                <w:tab w:val="clear" w:pos="720"/>
              </w:tabs>
              <w:ind w:left="544"/>
            </w:pPr>
            <w:r>
              <w:rPr>
                <w:i/>
              </w:rPr>
              <w:t xml:space="preserve">etc. </w:t>
            </w:r>
          </w:p>
        </w:tc>
      </w:tr>
      <w:tr w:rsidR="00CF7090" w14:paraId="6771A912" w14:textId="77777777" w:rsidTr="00A146FC">
        <w:tc>
          <w:tcPr>
            <w:tcW w:w="2232" w:type="dxa"/>
            <w:shd w:val="clear" w:color="auto" w:fill="F2F2F2" w:themeFill="background1" w:themeFillShade="F2"/>
          </w:tcPr>
          <w:p w14:paraId="000CC8B2" w14:textId="77777777" w:rsidR="00CF7090" w:rsidRPr="009648B4" w:rsidRDefault="00CF7090" w:rsidP="00CF7090">
            <w:pPr>
              <w:pStyle w:val="Listenabsatz"/>
              <w:numPr>
                <w:ilvl w:val="0"/>
                <w:numId w:val="3"/>
              </w:numPr>
              <w:ind w:left="358"/>
            </w:pPr>
            <w:r>
              <w:t xml:space="preserve">Planification et attribution des sillons </w:t>
            </w:r>
            <w:r>
              <w:rPr>
                <w:b/>
              </w:rPr>
              <w:t>transporteurs /</w:t>
            </w:r>
          </w:p>
          <w:p w14:paraId="057C04FF" w14:textId="77777777" w:rsidR="00CF7090" w:rsidRPr="009648B4" w:rsidRDefault="00CF7090" w:rsidP="008917BA">
            <w:pPr>
              <w:pStyle w:val="Listenabsatz"/>
              <w:ind w:left="358"/>
            </w:pPr>
            <w:r>
              <w:rPr>
                <w:b/>
              </w:rPr>
              <w:t>camions</w:t>
            </w:r>
          </w:p>
        </w:tc>
        <w:tc>
          <w:tcPr>
            <w:tcW w:w="6969" w:type="dxa"/>
          </w:tcPr>
          <w:p w14:paraId="65883363" w14:textId="77777777" w:rsidR="00CF7090" w:rsidRPr="00FA046B" w:rsidRDefault="00CF7090" w:rsidP="00EE3DDE">
            <w:pPr>
              <w:numPr>
                <w:ilvl w:val="0"/>
                <w:numId w:val="2"/>
              </w:numPr>
              <w:tabs>
                <w:tab w:val="clear" w:pos="720"/>
              </w:tabs>
              <w:ind w:left="544"/>
              <w:rPr>
                <w:i/>
                <w:iCs/>
              </w:rPr>
            </w:pPr>
            <w:r>
              <w:rPr>
                <w:i/>
              </w:rPr>
              <w:t>En raison d’un volume régulier de manutention de conteneurs, des sillons hebdomadaires et journaliers peuvent être convenus et fixés contractuellement sur l’année auprès de transporteurs ayant des volumes de trafic correspondants.</w:t>
            </w:r>
          </w:p>
          <w:p w14:paraId="35283C39" w14:textId="03398C53" w:rsidR="00CF7090" w:rsidRPr="00EE3DDE" w:rsidRDefault="00CF7090" w:rsidP="00EE3DDE">
            <w:pPr>
              <w:numPr>
                <w:ilvl w:val="0"/>
                <w:numId w:val="2"/>
              </w:numPr>
              <w:tabs>
                <w:tab w:val="clear" w:pos="720"/>
              </w:tabs>
              <w:ind w:left="544"/>
              <w:rPr>
                <w:i/>
                <w:iCs/>
              </w:rPr>
            </w:pPr>
            <w:r>
              <w:rPr>
                <w:i/>
              </w:rPr>
              <w:t>Les sillons réservés pour les camions doivent être annulés ou modifiés jusqu’à 2 heures avant le ramassage convenu, sinon des frais s’appliquent.</w:t>
            </w:r>
          </w:p>
          <w:p w14:paraId="639B1425" w14:textId="51C8F8A9" w:rsidR="00CF7090" w:rsidRPr="00FA046B" w:rsidRDefault="00CF7090" w:rsidP="00EE3DDE">
            <w:pPr>
              <w:numPr>
                <w:ilvl w:val="0"/>
                <w:numId w:val="2"/>
              </w:numPr>
              <w:tabs>
                <w:tab w:val="clear" w:pos="720"/>
              </w:tabs>
              <w:ind w:left="544"/>
              <w:rPr>
                <w:i/>
                <w:iCs/>
              </w:rPr>
            </w:pPr>
            <w:r>
              <w:rPr>
                <w:i/>
              </w:rPr>
              <w:t>Nous préparons généralement les demandes concernant les transporteurs/la route pendant la journée, de 06 h 00 à 18 h 00.</w:t>
            </w:r>
          </w:p>
          <w:p w14:paraId="4F60CD8C" w14:textId="77777777" w:rsidR="00CF7090" w:rsidRPr="00FA046B" w:rsidRDefault="00CF7090" w:rsidP="00EE3DDE">
            <w:pPr>
              <w:numPr>
                <w:ilvl w:val="0"/>
                <w:numId w:val="2"/>
              </w:numPr>
              <w:tabs>
                <w:tab w:val="clear" w:pos="720"/>
              </w:tabs>
              <w:ind w:left="544"/>
              <w:rPr>
                <w:i/>
                <w:iCs/>
              </w:rPr>
            </w:pPr>
            <w:r>
              <w:rPr>
                <w:i/>
              </w:rPr>
              <w:t>L’ordre de traitement des transporteurs se fait selon la réservation dans notre outil de gestion des sillons.</w:t>
            </w:r>
          </w:p>
          <w:p w14:paraId="4FBA423C" w14:textId="77777777" w:rsidR="00CF7090" w:rsidRPr="00FA046B" w:rsidRDefault="00CF7090" w:rsidP="00EE3DDE">
            <w:pPr>
              <w:numPr>
                <w:ilvl w:val="0"/>
                <w:numId w:val="2"/>
              </w:numPr>
              <w:tabs>
                <w:tab w:val="clear" w:pos="720"/>
              </w:tabs>
              <w:ind w:left="544"/>
              <w:rPr>
                <w:i/>
                <w:iCs/>
              </w:rPr>
            </w:pPr>
            <w:r>
              <w:rPr>
                <w:i/>
              </w:rPr>
              <w:lastRenderedPageBreak/>
              <w:t>Ou : l’ordre de traitement des transporteurs se fait selon l’ordre/la colonne d’enregistrement (premier arrivé, premier servi).</w:t>
            </w:r>
          </w:p>
          <w:p w14:paraId="09F06C26" w14:textId="17759A66" w:rsidR="00CF7090" w:rsidRDefault="00CF7090" w:rsidP="00A146FC">
            <w:pPr>
              <w:numPr>
                <w:ilvl w:val="0"/>
                <w:numId w:val="2"/>
              </w:numPr>
              <w:tabs>
                <w:tab w:val="clear" w:pos="720"/>
              </w:tabs>
              <w:ind w:left="544"/>
              <w:rPr>
                <w:i/>
              </w:rPr>
            </w:pPr>
            <w:r>
              <w:rPr>
                <w:i/>
              </w:rPr>
              <w:t>etc.</w:t>
            </w:r>
          </w:p>
        </w:tc>
      </w:tr>
    </w:tbl>
    <w:p w14:paraId="79135428" w14:textId="740F41A1" w:rsidR="001E16FB" w:rsidRPr="00A146FC" w:rsidRDefault="00A146FC" w:rsidP="00A146FC">
      <w:pPr>
        <w:spacing w:after="160" w:line="259" w:lineRule="auto"/>
        <w:rPr>
          <w:b/>
          <w:i/>
          <w:iCs/>
        </w:rPr>
      </w:pPr>
      <w:r>
        <w:lastRenderedPageBreak/>
        <w:br w:type="page"/>
      </w:r>
    </w:p>
    <w:p w14:paraId="46BE3718" w14:textId="25F84131" w:rsidR="00CF7090" w:rsidRPr="009648B4" w:rsidRDefault="00CF7090" w:rsidP="00EE3DDE">
      <w:pPr>
        <w:pStyle w:val="Listenabsatz"/>
        <w:numPr>
          <w:ilvl w:val="0"/>
          <w:numId w:val="1"/>
        </w:numPr>
        <w:ind w:left="284" w:hanging="284"/>
        <w:rPr>
          <w:b/>
        </w:rPr>
      </w:pPr>
      <w:r>
        <w:rPr>
          <w:b/>
        </w:rPr>
        <w:t xml:space="preserve">Étape : </w:t>
      </w:r>
      <w:r>
        <w:rPr>
          <w:b/>
          <w:u w:val="single"/>
        </w:rPr>
        <w:t>résolution des conflits et des divergences (durant l’exploitation opérationnelle)</w:t>
      </w:r>
    </w:p>
    <w:p w14:paraId="647A52EE" w14:textId="77777777" w:rsidR="00B16563" w:rsidRDefault="00B16563" w:rsidP="00B16563"/>
    <w:p w14:paraId="43CC5857" w14:textId="77777777" w:rsidR="00CF7090" w:rsidRPr="00B16563" w:rsidRDefault="00B16563" w:rsidP="00B16563">
      <w:pPr>
        <w:rPr>
          <w:i/>
          <w:iCs/>
        </w:rPr>
      </w:pPr>
      <w:r>
        <w:t>Les règles et principes suivants s’appliquent sur l’installation en cas de conflit ou de divergence :</w:t>
      </w:r>
    </w:p>
    <w:p w14:paraId="1165E051" w14:textId="77777777" w:rsidR="00CF7090" w:rsidRDefault="00CF7090" w:rsidP="00CF7090">
      <w:pPr>
        <w:rPr>
          <w:i/>
        </w:rPr>
      </w:pPr>
    </w:p>
    <w:tbl>
      <w:tblPr>
        <w:tblStyle w:val="Tabellenraster"/>
        <w:tblW w:w="9209" w:type="dxa"/>
        <w:tblCellMar>
          <w:top w:w="57" w:type="dxa"/>
          <w:left w:w="57" w:type="dxa"/>
          <w:bottom w:w="57" w:type="dxa"/>
          <w:right w:w="57" w:type="dxa"/>
        </w:tblCellMar>
        <w:tblLook w:val="04A0" w:firstRow="1" w:lastRow="0" w:firstColumn="1" w:lastColumn="0" w:noHBand="0" w:noVBand="1"/>
      </w:tblPr>
      <w:tblGrid>
        <w:gridCol w:w="2461"/>
        <w:gridCol w:w="6748"/>
      </w:tblGrid>
      <w:tr w:rsidR="00CF7090" w14:paraId="187A4FFB" w14:textId="77777777" w:rsidTr="00317CBC">
        <w:tc>
          <w:tcPr>
            <w:tcW w:w="2461" w:type="dxa"/>
            <w:shd w:val="clear" w:color="auto" w:fill="F2F2F2" w:themeFill="background1" w:themeFillShade="F2"/>
          </w:tcPr>
          <w:p w14:paraId="0C5B4DAF" w14:textId="2692FD90" w:rsidR="00CF7090" w:rsidRPr="009648B4" w:rsidRDefault="00CF7090" w:rsidP="00CF7090">
            <w:pPr>
              <w:pStyle w:val="Listenabsatz"/>
              <w:numPr>
                <w:ilvl w:val="0"/>
                <w:numId w:val="7"/>
              </w:numPr>
              <w:ind w:left="358"/>
            </w:pPr>
            <w:r>
              <w:t xml:space="preserve">Conflits et divergences </w:t>
            </w:r>
            <w:r>
              <w:br/>
            </w:r>
            <w:r>
              <w:rPr>
                <w:b/>
              </w:rPr>
              <w:t>rail</w:t>
            </w:r>
            <w:r w:rsidR="009262EA">
              <w:rPr>
                <w:b/>
              </w:rPr>
              <w:t xml:space="preserve"> </w:t>
            </w:r>
            <w:r>
              <w:rPr>
                <w:b/>
              </w:rPr>
              <w:t>/</w:t>
            </w:r>
            <w:r w:rsidR="009262EA">
              <w:rPr>
                <w:b/>
              </w:rPr>
              <w:t xml:space="preserve"> </w:t>
            </w:r>
            <w:r>
              <w:rPr>
                <w:b/>
              </w:rPr>
              <w:t>navigation</w:t>
            </w:r>
          </w:p>
        </w:tc>
        <w:tc>
          <w:tcPr>
            <w:tcW w:w="6748" w:type="dxa"/>
          </w:tcPr>
          <w:p w14:paraId="4DF1F202" w14:textId="77777777" w:rsidR="00CF7090" w:rsidRDefault="00CF7090" w:rsidP="00EE3DDE">
            <w:pPr>
              <w:numPr>
                <w:ilvl w:val="0"/>
                <w:numId w:val="2"/>
              </w:numPr>
              <w:tabs>
                <w:tab w:val="clear" w:pos="720"/>
              </w:tabs>
              <w:ind w:left="544"/>
              <w:rPr>
                <w:i/>
                <w:iCs/>
              </w:rPr>
            </w:pPr>
            <w:r>
              <w:rPr>
                <w:i/>
              </w:rPr>
              <w:t>Priorité aux trains devant respecter l’horaire. Les trains avec un retard supérieur à 1 heure sont mis en attente/stockés de manière intermédiaire.</w:t>
            </w:r>
          </w:p>
          <w:p w14:paraId="55DE03C0" w14:textId="64F858D1" w:rsidR="00CF7090" w:rsidRPr="00C24019" w:rsidRDefault="00CF7090" w:rsidP="00EE3DDE">
            <w:pPr>
              <w:numPr>
                <w:ilvl w:val="0"/>
                <w:numId w:val="2"/>
              </w:numPr>
              <w:tabs>
                <w:tab w:val="clear" w:pos="720"/>
              </w:tabs>
              <w:ind w:left="544"/>
              <w:rPr>
                <w:i/>
                <w:iCs/>
              </w:rPr>
            </w:pPr>
            <w:r>
              <w:rPr>
                <w:i/>
              </w:rPr>
              <w:t xml:space="preserve">Même en cas de faute de tiers, les retards doivent être traités par ordre séquentiel (selon l’heure d’arrivée). Notre installation ne permet </w:t>
            </w:r>
            <w:r w:rsidR="009262EA">
              <w:rPr>
                <w:i/>
              </w:rPr>
              <w:t xml:space="preserve">pas </w:t>
            </w:r>
            <w:r>
              <w:rPr>
                <w:i/>
              </w:rPr>
              <w:t>de stockages intermédiaires.</w:t>
            </w:r>
          </w:p>
          <w:p w14:paraId="4142D276" w14:textId="053C5730" w:rsidR="00CF7090" w:rsidRDefault="00424BA7" w:rsidP="00EE3DDE">
            <w:pPr>
              <w:numPr>
                <w:ilvl w:val="0"/>
                <w:numId w:val="2"/>
              </w:numPr>
              <w:tabs>
                <w:tab w:val="clear" w:pos="720"/>
              </w:tabs>
              <w:ind w:left="544"/>
              <w:rPr>
                <w:i/>
                <w:iCs/>
              </w:rPr>
            </w:pPr>
            <w:r>
              <w:rPr>
                <w:i/>
              </w:rPr>
              <w:t>Des sillons conflictuels des transporteurs sont annoncés au plus tard 1 heure avant l’échéance convenue avec un avis de retard.</w:t>
            </w:r>
          </w:p>
          <w:p w14:paraId="3FFE43C2" w14:textId="6DC79EEE" w:rsidR="00CF7090" w:rsidRPr="00FA046B" w:rsidRDefault="00CF7090" w:rsidP="00A146FC">
            <w:pPr>
              <w:numPr>
                <w:ilvl w:val="0"/>
                <w:numId w:val="2"/>
              </w:numPr>
              <w:tabs>
                <w:tab w:val="clear" w:pos="720"/>
              </w:tabs>
              <w:ind w:left="544"/>
              <w:rPr>
                <w:i/>
                <w:iCs/>
              </w:rPr>
            </w:pPr>
            <w:r>
              <w:rPr>
                <w:i/>
              </w:rPr>
              <w:t>etc.</w:t>
            </w:r>
          </w:p>
        </w:tc>
      </w:tr>
      <w:tr w:rsidR="00CF7090" w14:paraId="48E32A55" w14:textId="77777777" w:rsidTr="00317CBC">
        <w:tc>
          <w:tcPr>
            <w:tcW w:w="2461" w:type="dxa"/>
            <w:shd w:val="clear" w:color="auto" w:fill="F2F2F2" w:themeFill="background1" w:themeFillShade="F2"/>
          </w:tcPr>
          <w:p w14:paraId="275B163E" w14:textId="2FBC9046" w:rsidR="00CF7090" w:rsidRPr="009648B4" w:rsidRDefault="00CF7090" w:rsidP="00CF7090">
            <w:pPr>
              <w:pStyle w:val="Listenabsatz"/>
              <w:numPr>
                <w:ilvl w:val="0"/>
                <w:numId w:val="7"/>
              </w:numPr>
              <w:ind w:left="358"/>
            </w:pPr>
            <w:r>
              <w:t xml:space="preserve">Conflits et divergences </w:t>
            </w:r>
            <w:r>
              <w:rPr>
                <w:b/>
              </w:rPr>
              <w:t>transporteurs</w:t>
            </w:r>
            <w:r w:rsidR="009262EA">
              <w:rPr>
                <w:b/>
              </w:rPr>
              <w:t xml:space="preserve"> </w:t>
            </w:r>
            <w:r>
              <w:rPr>
                <w:b/>
              </w:rPr>
              <w:t>/</w:t>
            </w:r>
            <w:r w:rsidR="009262EA">
              <w:rPr>
                <w:b/>
              </w:rPr>
              <w:t xml:space="preserve"> </w:t>
            </w:r>
            <w:r>
              <w:rPr>
                <w:b/>
              </w:rPr>
              <w:t>camions</w:t>
            </w:r>
          </w:p>
        </w:tc>
        <w:tc>
          <w:tcPr>
            <w:tcW w:w="6748" w:type="dxa"/>
          </w:tcPr>
          <w:p w14:paraId="4A4BC673" w14:textId="77777777" w:rsidR="00CF7090" w:rsidRPr="00D206FF" w:rsidRDefault="00CF7090" w:rsidP="00EE3DDE">
            <w:pPr>
              <w:numPr>
                <w:ilvl w:val="0"/>
                <w:numId w:val="2"/>
              </w:numPr>
              <w:tabs>
                <w:tab w:val="clear" w:pos="720"/>
              </w:tabs>
              <w:ind w:left="544"/>
              <w:rPr>
                <w:i/>
                <w:iCs/>
              </w:rPr>
            </w:pPr>
            <w:r>
              <w:rPr>
                <w:i/>
              </w:rPr>
              <w:t>Clause salvatrice convenue contractuellement en cas de changement de priorité à court terme dans l’exploitation opérationnelle en faveur de la navigation /du rail par rapport à la réservation existante du transporteur.</w:t>
            </w:r>
          </w:p>
          <w:p w14:paraId="58090843" w14:textId="76E98741" w:rsidR="00CF7090" w:rsidRDefault="00CF7090" w:rsidP="00EE3DDE">
            <w:pPr>
              <w:pStyle w:val="Listenabsatz"/>
              <w:numPr>
                <w:ilvl w:val="0"/>
                <w:numId w:val="2"/>
              </w:numPr>
              <w:tabs>
                <w:tab w:val="clear" w:pos="720"/>
              </w:tabs>
              <w:ind w:left="544"/>
              <w:rPr>
                <w:i/>
                <w:iCs/>
              </w:rPr>
            </w:pPr>
            <w:r>
              <w:rPr>
                <w:i/>
              </w:rPr>
              <w:t>Gestion des divergences entre l’ordre effectif à l’enregistrement et la réservation dans l’outil de gestion des sillons et des capacités (comment les réservations arrivent-elles dans le bon ordre).</w:t>
            </w:r>
          </w:p>
          <w:p w14:paraId="1A83AF27" w14:textId="0AB11A1C" w:rsidR="00CF7090" w:rsidRPr="00FA046B" w:rsidRDefault="00CF7090" w:rsidP="00A146FC">
            <w:pPr>
              <w:pStyle w:val="Listenabsatz"/>
              <w:numPr>
                <w:ilvl w:val="0"/>
                <w:numId w:val="2"/>
              </w:numPr>
              <w:tabs>
                <w:tab w:val="clear" w:pos="720"/>
              </w:tabs>
              <w:ind w:left="544"/>
              <w:rPr>
                <w:i/>
                <w:iCs/>
              </w:rPr>
            </w:pPr>
            <w:r>
              <w:rPr>
                <w:i/>
              </w:rPr>
              <w:t>etc.</w:t>
            </w:r>
          </w:p>
        </w:tc>
      </w:tr>
      <w:tr w:rsidR="00CF7090" w14:paraId="7144474B" w14:textId="77777777" w:rsidTr="00317CBC">
        <w:tc>
          <w:tcPr>
            <w:tcW w:w="2461" w:type="dxa"/>
            <w:shd w:val="clear" w:color="auto" w:fill="F2F2F2" w:themeFill="background1" w:themeFillShade="F2"/>
          </w:tcPr>
          <w:p w14:paraId="4DDBDD70" w14:textId="77777777" w:rsidR="00CF7090" w:rsidRPr="009648B4" w:rsidRDefault="00CF7090" w:rsidP="008917BA">
            <w:pPr>
              <w:pStyle w:val="Listenabsatz"/>
              <w:ind w:left="0"/>
              <w:rPr>
                <w:b/>
              </w:rPr>
            </w:pPr>
            <w:r>
              <w:rPr>
                <w:b/>
              </w:rPr>
              <w:t>Contact RailCom</w:t>
            </w:r>
          </w:p>
        </w:tc>
        <w:tc>
          <w:tcPr>
            <w:tcW w:w="6748" w:type="dxa"/>
          </w:tcPr>
          <w:p w14:paraId="06CAF45F" w14:textId="0D427658" w:rsidR="009F12E6" w:rsidRDefault="00445157" w:rsidP="008917BA">
            <w:r>
              <w:t xml:space="preserve">Si des conflits surviennent lors de l’attribution des sillons, il est possible de déposer une action ou une dénonciation auprès de la RailCom contre une décision de l’exploitant. Les entreprises qui se sentent victimes de discrimination dans l’utilisation d’une installation doivent s’adresser à : </w:t>
            </w:r>
          </w:p>
          <w:p w14:paraId="330D9C75" w14:textId="77777777" w:rsidR="009F12E6" w:rsidRDefault="009F12E6" w:rsidP="008917BA"/>
          <w:p w14:paraId="2C37F3F8" w14:textId="77F6B901" w:rsidR="009F12E6" w:rsidRDefault="00CF7090" w:rsidP="008917BA">
            <w:r>
              <w:t xml:space="preserve">Commission des chemins de fer RailCom </w:t>
            </w:r>
          </w:p>
          <w:p w14:paraId="79974529" w14:textId="4F2446E3" w:rsidR="009F12E6" w:rsidRPr="00E745E3" w:rsidRDefault="00CF7090" w:rsidP="008917BA">
            <w:pPr>
              <w:rPr>
                <w:lang w:val="de-CH"/>
              </w:rPr>
            </w:pPr>
            <w:r w:rsidRPr="00E745E3">
              <w:rPr>
                <w:lang w:val="de-CH"/>
              </w:rPr>
              <w:t xml:space="preserve">Christoffelgasse 5 </w:t>
            </w:r>
          </w:p>
          <w:p w14:paraId="3B452E74" w14:textId="72041FB0" w:rsidR="009F12E6" w:rsidRPr="00E745E3" w:rsidRDefault="00CF7090" w:rsidP="008917BA">
            <w:pPr>
              <w:rPr>
                <w:lang w:val="de-CH"/>
              </w:rPr>
            </w:pPr>
            <w:r w:rsidRPr="00E745E3">
              <w:rPr>
                <w:lang w:val="de-CH"/>
              </w:rPr>
              <w:t xml:space="preserve">3003 Berne </w:t>
            </w:r>
          </w:p>
          <w:p w14:paraId="2340A89D" w14:textId="77777777" w:rsidR="00A52521" w:rsidRPr="00E745E3" w:rsidRDefault="00A52521" w:rsidP="008917BA">
            <w:pPr>
              <w:rPr>
                <w:lang w:val="de-CH"/>
              </w:rPr>
            </w:pPr>
          </w:p>
          <w:p w14:paraId="6813FC05" w14:textId="3DC03F1E" w:rsidR="009F12E6" w:rsidRPr="00E745E3" w:rsidRDefault="009262EA" w:rsidP="008917BA">
            <w:pPr>
              <w:rPr>
                <w:lang w:val="de-CH"/>
              </w:rPr>
            </w:pPr>
            <w:hyperlink r:id="rId7" w:history="1">
              <w:r w:rsidR="00204DB0" w:rsidRPr="00E745E3">
                <w:rPr>
                  <w:rStyle w:val="Hyperlink"/>
                  <w:lang w:val="de-CH"/>
                </w:rPr>
                <w:t>info@railcom.admin.ch</w:t>
              </w:r>
            </w:hyperlink>
            <w:r w:rsidR="00204DB0" w:rsidRPr="00E745E3">
              <w:rPr>
                <w:lang w:val="de-CH"/>
              </w:rPr>
              <w:t xml:space="preserve"> </w:t>
            </w:r>
          </w:p>
          <w:p w14:paraId="61B82A86" w14:textId="77777777" w:rsidR="00CF7090" w:rsidRDefault="00CF7090" w:rsidP="008917BA">
            <w:pPr>
              <w:rPr>
                <w:i/>
                <w:iCs/>
              </w:rPr>
            </w:pPr>
            <w:r>
              <w:t>+41 58 463 13 00</w:t>
            </w:r>
          </w:p>
        </w:tc>
      </w:tr>
    </w:tbl>
    <w:p w14:paraId="637008AC" w14:textId="77777777" w:rsidR="005B6D65" w:rsidRPr="001B3450" w:rsidRDefault="005B6D65" w:rsidP="001B3450"/>
    <w:sectPr w:rsidR="005B6D65" w:rsidRPr="001B3450" w:rsidSect="001B345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265B" w16cex:dateUtc="2022-09-19T15:33:00Z"/>
  <w16cex:commentExtensible w16cex:durableId="26D3269A" w16cex:dateUtc="2022-09-19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520A5B" w16cid:durableId="26D3265B"/>
  <w16cid:commentId w16cid:paraId="2DC607E2" w16cid:durableId="26D326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E021E" w14:textId="77777777" w:rsidR="00204DB0" w:rsidRDefault="00204DB0" w:rsidP="00D63B2C">
      <w:pPr>
        <w:spacing w:line="240" w:lineRule="auto"/>
      </w:pPr>
      <w:r>
        <w:separator/>
      </w:r>
    </w:p>
  </w:endnote>
  <w:endnote w:type="continuationSeparator" w:id="0">
    <w:p w14:paraId="1580011A" w14:textId="77777777" w:rsidR="00204DB0" w:rsidRDefault="00204DB0" w:rsidP="00D63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88D11" w14:textId="77777777" w:rsidR="009262EA" w:rsidRDefault="00926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21914"/>
      <w:docPartObj>
        <w:docPartGallery w:val="Page Numbers (Bottom of Page)"/>
        <w:docPartUnique/>
      </w:docPartObj>
    </w:sdtPr>
    <w:sdtEndPr/>
    <w:sdtContent>
      <w:p w14:paraId="5D5C5BB3" w14:textId="233FB86E" w:rsidR="00D63B2C" w:rsidRDefault="00D63B2C">
        <w:pPr>
          <w:pStyle w:val="Fuzeile"/>
          <w:jc w:val="right"/>
        </w:pPr>
        <w:r>
          <w:fldChar w:fldCharType="begin"/>
        </w:r>
        <w:r>
          <w:instrText>PAGE   \* MERGEFORMAT</w:instrText>
        </w:r>
        <w:r>
          <w:fldChar w:fldCharType="separate"/>
        </w:r>
        <w:r w:rsidR="00E745E3" w:rsidRPr="00E745E3">
          <w:rPr>
            <w:noProof/>
            <w:lang w:val="de-DE"/>
          </w:rPr>
          <w:t>4</w:t>
        </w:r>
        <w:r>
          <w:fldChar w:fldCharType="end"/>
        </w:r>
      </w:p>
    </w:sdtContent>
  </w:sdt>
  <w:p w14:paraId="3B36C3CF" w14:textId="77777777" w:rsidR="00D63B2C" w:rsidRDefault="00D63B2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DBEE" w14:textId="77777777" w:rsidR="009262EA" w:rsidRDefault="00926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ABFD4" w14:textId="77777777" w:rsidR="00204DB0" w:rsidRDefault="00204DB0" w:rsidP="00D63B2C">
      <w:pPr>
        <w:spacing w:line="240" w:lineRule="auto"/>
      </w:pPr>
      <w:r>
        <w:separator/>
      </w:r>
    </w:p>
  </w:footnote>
  <w:footnote w:type="continuationSeparator" w:id="0">
    <w:p w14:paraId="5C9E914D" w14:textId="77777777" w:rsidR="00204DB0" w:rsidRDefault="00204DB0" w:rsidP="00D63B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88ED" w14:textId="77777777" w:rsidR="009262EA" w:rsidRDefault="00926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5A045" w14:textId="77777777" w:rsidR="009262EA" w:rsidRDefault="00926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0D4FA" w14:textId="77777777" w:rsidR="009262EA" w:rsidRDefault="009262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3F1F"/>
    <w:multiLevelType w:val="hybridMultilevel"/>
    <w:tmpl w:val="6FE8B03E"/>
    <w:lvl w:ilvl="0" w:tplc="1E3A10E8">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6E67283"/>
    <w:multiLevelType w:val="hybridMultilevel"/>
    <w:tmpl w:val="1C00809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2F414D"/>
    <w:multiLevelType w:val="hybridMultilevel"/>
    <w:tmpl w:val="2028019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A77BE0"/>
    <w:multiLevelType w:val="hybridMultilevel"/>
    <w:tmpl w:val="0566839E"/>
    <w:lvl w:ilvl="0" w:tplc="AE265CCC">
      <w:start w:val="1"/>
      <w:numFmt w:val="bullet"/>
      <w:lvlText w:val="•"/>
      <w:lvlJc w:val="left"/>
      <w:pPr>
        <w:tabs>
          <w:tab w:val="num" w:pos="720"/>
        </w:tabs>
        <w:ind w:left="720" w:hanging="360"/>
      </w:pPr>
      <w:rPr>
        <w:rFonts w:ascii="Arial" w:hAnsi="Arial" w:hint="default"/>
      </w:rPr>
    </w:lvl>
    <w:lvl w:ilvl="1" w:tplc="76063370" w:tentative="1">
      <w:start w:val="1"/>
      <w:numFmt w:val="bullet"/>
      <w:lvlText w:val="•"/>
      <w:lvlJc w:val="left"/>
      <w:pPr>
        <w:tabs>
          <w:tab w:val="num" w:pos="1440"/>
        </w:tabs>
        <w:ind w:left="1440" w:hanging="360"/>
      </w:pPr>
      <w:rPr>
        <w:rFonts w:ascii="Arial" w:hAnsi="Arial" w:hint="default"/>
      </w:rPr>
    </w:lvl>
    <w:lvl w:ilvl="2" w:tplc="AF68A572" w:tentative="1">
      <w:start w:val="1"/>
      <w:numFmt w:val="bullet"/>
      <w:lvlText w:val="•"/>
      <w:lvlJc w:val="left"/>
      <w:pPr>
        <w:tabs>
          <w:tab w:val="num" w:pos="2160"/>
        </w:tabs>
        <w:ind w:left="2160" w:hanging="360"/>
      </w:pPr>
      <w:rPr>
        <w:rFonts w:ascii="Arial" w:hAnsi="Arial" w:hint="default"/>
      </w:rPr>
    </w:lvl>
    <w:lvl w:ilvl="3" w:tplc="A7CA90BA" w:tentative="1">
      <w:start w:val="1"/>
      <w:numFmt w:val="bullet"/>
      <w:lvlText w:val="•"/>
      <w:lvlJc w:val="left"/>
      <w:pPr>
        <w:tabs>
          <w:tab w:val="num" w:pos="2880"/>
        </w:tabs>
        <w:ind w:left="2880" w:hanging="360"/>
      </w:pPr>
      <w:rPr>
        <w:rFonts w:ascii="Arial" w:hAnsi="Arial" w:hint="default"/>
      </w:rPr>
    </w:lvl>
    <w:lvl w:ilvl="4" w:tplc="B89CC03A" w:tentative="1">
      <w:start w:val="1"/>
      <w:numFmt w:val="bullet"/>
      <w:lvlText w:val="•"/>
      <w:lvlJc w:val="left"/>
      <w:pPr>
        <w:tabs>
          <w:tab w:val="num" w:pos="3600"/>
        </w:tabs>
        <w:ind w:left="3600" w:hanging="360"/>
      </w:pPr>
      <w:rPr>
        <w:rFonts w:ascii="Arial" w:hAnsi="Arial" w:hint="default"/>
      </w:rPr>
    </w:lvl>
    <w:lvl w:ilvl="5" w:tplc="E97611B6" w:tentative="1">
      <w:start w:val="1"/>
      <w:numFmt w:val="bullet"/>
      <w:lvlText w:val="•"/>
      <w:lvlJc w:val="left"/>
      <w:pPr>
        <w:tabs>
          <w:tab w:val="num" w:pos="4320"/>
        </w:tabs>
        <w:ind w:left="4320" w:hanging="360"/>
      </w:pPr>
      <w:rPr>
        <w:rFonts w:ascii="Arial" w:hAnsi="Arial" w:hint="default"/>
      </w:rPr>
    </w:lvl>
    <w:lvl w:ilvl="6" w:tplc="CEBA49BA" w:tentative="1">
      <w:start w:val="1"/>
      <w:numFmt w:val="bullet"/>
      <w:lvlText w:val="•"/>
      <w:lvlJc w:val="left"/>
      <w:pPr>
        <w:tabs>
          <w:tab w:val="num" w:pos="5040"/>
        </w:tabs>
        <w:ind w:left="5040" w:hanging="360"/>
      </w:pPr>
      <w:rPr>
        <w:rFonts w:ascii="Arial" w:hAnsi="Arial" w:hint="default"/>
      </w:rPr>
    </w:lvl>
    <w:lvl w:ilvl="7" w:tplc="C08687BA" w:tentative="1">
      <w:start w:val="1"/>
      <w:numFmt w:val="bullet"/>
      <w:lvlText w:val="•"/>
      <w:lvlJc w:val="left"/>
      <w:pPr>
        <w:tabs>
          <w:tab w:val="num" w:pos="5760"/>
        </w:tabs>
        <w:ind w:left="5760" w:hanging="360"/>
      </w:pPr>
      <w:rPr>
        <w:rFonts w:ascii="Arial" w:hAnsi="Arial" w:hint="default"/>
      </w:rPr>
    </w:lvl>
    <w:lvl w:ilvl="8" w:tplc="4F12C9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BF3DBD"/>
    <w:multiLevelType w:val="hybridMultilevel"/>
    <w:tmpl w:val="95EE6BEE"/>
    <w:lvl w:ilvl="0" w:tplc="08E2FF0E">
      <w:start w:val="1"/>
      <w:numFmt w:val="bullet"/>
      <w:lvlText w:val="•"/>
      <w:lvlJc w:val="left"/>
      <w:pPr>
        <w:tabs>
          <w:tab w:val="num" w:pos="720"/>
        </w:tabs>
        <w:ind w:left="720" w:hanging="360"/>
      </w:pPr>
      <w:rPr>
        <w:rFonts w:ascii="Arial" w:hAnsi="Arial" w:hint="default"/>
      </w:rPr>
    </w:lvl>
    <w:lvl w:ilvl="1" w:tplc="4ED48DC2" w:tentative="1">
      <w:start w:val="1"/>
      <w:numFmt w:val="bullet"/>
      <w:lvlText w:val="•"/>
      <w:lvlJc w:val="left"/>
      <w:pPr>
        <w:tabs>
          <w:tab w:val="num" w:pos="1440"/>
        </w:tabs>
        <w:ind w:left="1440" w:hanging="360"/>
      </w:pPr>
      <w:rPr>
        <w:rFonts w:ascii="Arial" w:hAnsi="Arial" w:hint="default"/>
      </w:rPr>
    </w:lvl>
    <w:lvl w:ilvl="2" w:tplc="E318A536" w:tentative="1">
      <w:start w:val="1"/>
      <w:numFmt w:val="bullet"/>
      <w:lvlText w:val="•"/>
      <w:lvlJc w:val="left"/>
      <w:pPr>
        <w:tabs>
          <w:tab w:val="num" w:pos="2160"/>
        </w:tabs>
        <w:ind w:left="2160" w:hanging="360"/>
      </w:pPr>
      <w:rPr>
        <w:rFonts w:ascii="Arial" w:hAnsi="Arial" w:hint="default"/>
      </w:rPr>
    </w:lvl>
    <w:lvl w:ilvl="3" w:tplc="9C305556" w:tentative="1">
      <w:start w:val="1"/>
      <w:numFmt w:val="bullet"/>
      <w:lvlText w:val="•"/>
      <w:lvlJc w:val="left"/>
      <w:pPr>
        <w:tabs>
          <w:tab w:val="num" w:pos="2880"/>
        </w:tabs>
        <w:ind w:left="2880" w:hanging="360"/>
      </w:pPr>
      <w:rPr>
        <w:rFonts w:ascii="Arial" w:hAnsi="Arial" w:hint="default"/>
      </w:rPr>
    </w:lvl>
    <w:lvl w:ilvl="4" w:tplc="2670D950" w:tentative="1">
      <w:start w:val="1"/>
      <w:numFmt w:val="bullet"/>
      <w:lvlText w:val="•"/>
      <w:lvlJc w:val="left"/>
      <w:pPr>
        <w:tabs>
          <w:tab w:val="num" w:pos="3600"/>
        </w:tabs>
        <w:ind w:left="3600" w:hanging="360"/>
      </w:pPr>
      <w:rPr>
        <w:rFonts w:ascii="Arial" w:hAnsi="Arial" w:hint="default"/>
      </w:rPr>
    </w:lvl>
    <w:lvl w:ilvl="5" w:tplc="9348CDE2" w:tentative="1">
      <w:start w:val="1"/>
      <w:numFmt w:val="bullet"/>
      <w:lvlText w:val="•"/>
      <w:lvlJc w:val="left"/>
      <w:pPr>
        <w:tabs>
          <w:tab w:val="num" w:pos="4320"/>
        </w:tabs>
        <w:ind w:left="4320" w:hanging="360"/>
      </w:pPr>
      <w:rPr>
        <w:rFonts w:ascii="Arial" w:hAnsi="Arial" w:hint="default"/>
      </w:rPr>
    </w:lvl>
    <w:lvl w:ilvl="6" w:tplc="ED8C984A" w:tentative="1">
      <w:start w:val="1"/>
      <w:numFmt w:val="bullet"/>
      <w:lvlText w:val="•"/>
      <w:lvlJc w:val="left"/>
      <w:pPr>
        <w:tabs>
          <w:tab w:val="num" w:pos="5040"/>
        </w:tabs>
        <w:ind w:left="5040" w:hanging="360"/>
      </w:pPr>
      <w:rPr>
        <w:rFonts w:ascii="Arial" w:hAnsi="Arial" w:hint="default"/>
      </w:rPr>
    </w:lvl>
    <w:lvl w:ilvl="7" w:tplc="BEA2F50A" w:tentative="1">
      <w:start w:val="1"/>
      <w:numFmt w:val="bullet"/>
      <w:lvlText w:val="•"/>
      <w:lvlJc w:val="left"/>
      <w:pPr>
        <w:tabs>
          <w:tab w:val="num" w:pos="5760"/>
        </w:tabs>
        <w:ind w:left="5760" w:hanging="360"/>
      </w:pPr>
      <w:rPr>
        <w:rFonts w:ascii="Arial" w:hAnsi="Arial" w:hint="default"/>
      </w:rPr>
    </w:lvl>
    <w:lvl w:ilvl="8" w:tplc="243440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B64014"/>
    <w:multiLevelType w:val="hybridMultilevel"/>
    <w:tmpl w:val="89E21EE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AEA2512"/>
    <w:multiLevelType w:val="hybridMultilevel"/>
    <w:tmpl w:val="D9AE6F70"/>
    <w:lvl w:ilvl="0" w:tplc="C6D0D520">
      <w:start w:val="1"/>
      <w:numFmt w:val="bullet"/>
      <w:lvlText w:val="•"/>
      <w:lvlJc w:val="left"/>
      <w:pPr>
        <w:tabs>
          <w:tab w:val="num" w:pos="720"/>
        </w:tabs>
        <w:ind w:left="720" w:hanging="360"/>
      </w:pPr>
      <w:rPr>
        <w:rFonts w:ascii="Arial" w:hAnsi="Arial" w:hint="default"/>
      </w:rPr>
    </w:lvl>
    <w:lvl w:ilvl="1" w:tplc="CA9A09E0" w:tentative="1">
      <w:start w:val="1"/>
      <w:numFmt w:val="bullet"/>
      <w:lvlText w:val="•"/>
      <w:lvlJc w:val="left"/>
      <w:pPr>
        <w:tabs>
          <w:tab w:val="num" w:pos="1440"/>
        </w:tabs>
        <w:ind w:left="1440" w:hanging="360"/>
      </w:pPr>
      <w:rPr>
        <w:rFonts w:ascii="Arial" w:hAnsi="Arial" w:hint="default"/>
      </w:rPr>
    </w:lvl>
    <w:lvl w:ilvl="2" w:tplc="52EEE032" w:tentative="1">
      <w:start w:val="1"/>
      <w:numFmt w:val="bullet"/>
      <w:lvlText w:val="•"/>
      <w:lvlJc w:val="left"/>
      <w:pPr>
        <w:tabs>
          <w:tab w:val="num" w:pos="2160"/>
        </w:tabs>
        <w:ind w:left="2160" w:hanging="360"/>
      </w:pPr>
      <w:rPr>
        <w:rFonts w:ascii="Arial" w:hAnsi="Arial" w:hint="default"/>
      </w:rPr>
    </w:lvl>
    <w:lvl w:ilvl="3" w:tplc="7E2CD8F0" w:tentative="1">
      <w:start w:val="1"/>
      <w:numFmt w:val="bullet"/>
      <w:lvlText w:val="•"/>
      <w:lvlJc w:val="left"/>
      <w:pPr>
        <w:tabs>
          <w:tab w:val="num" w:pos="2880"/>
        </w:tabs>
        <w:ind w:left="2880" w:hanging="360"/>
      </w:pPr>
      <w:rPr>
        <w:rFonts w:ascii="Arial" w:hAnsi="Arial" w:hint="default"/>
      </w:rPr>
    </w:lvl>
    <w:lvl w:ilvl="4" w:tplc="03041156" w:tentative="1">
      <w:start w:val="1"/>
      <w:numFmt w:val="bullet"/>
      <w:lvlText w:val="•"/>
      <w:lvlJc w:val="left"/>
      <w:pPr>
        <w:tabs>
          <w:tab w:val="num" w:pos="3600"/>
        </w:tabs>
        <w:ind w:left="3600" w:hanging="360"/>
      </w:pPr>
      <w:rPr>
        <w:rFonts w:ascii="Arial" w:hAnsi="Arial" w:hint="default"/>
      </w:rPr>
    </w:lvl>
    <w:lvl w:ilvl="5" w:tplc="809E9D28" w:tentative="1">
      <w:start w:val="1"/>
      <w:numFmt w:val="bullet"/>
      <w:lvlText w:val="•"/>
      <w:lvlJc w:val="left"/>
      <w:pPr>
        <w:tabs>
          <w:tab w:val="num" w:pos="4320"/>
        </w:tabs>
        <w:ind w:left="4320" w:hanging="360"/>
      </w:pPr>
      <w:rPr>
        <w:rFonts w:ascii="Arial" w:hAnsi="Arial" w:hint="default"/>
      </w:rPr>
    </w:lvl>
    <w:lvl w:ilvl="6" w:tplc="79FA12E4" w:tentative="1">
      <w:start w:val="1"/>
      <w:numFmt w:val="bullet"/>
      <w:lvlText w:val="•"/>
      <w:lvlJc w:val="left"/>
      <w:pPr>
        <w:tabs>
          <w:tab w:val="num" w:pos="5040"/>
        </w:tabs>
        <w:ind w:left="5040" w:hanging="360"/>
      </w:pPr>
      <w:rPr>
        <w:rFonts w:ascii="Arial" w:hAnsi="Arial" w:hint="default"/>
      </w:rPr>
    </w:lvl>
    <w:lvl w:ilvl="7" w:tplc="0674CE04" w:tentative="1">
      <w:start w:val="1"/>
      <w:numFmt w:val="bullet"/>
      <w:lvlText w:val="•"/>
      <w:lvlJc w:val="left"/>
      <w:pPr>
        <w:tabs>
          <w:tab w:val="num" w:pos="5760"/>
        </w:tabs>
        <w:ind w:left="5760" w:hanging="360"/>
      </w:pPr>
      <w:rPr>
        <w:rFonts w:ascii="Arial" w:hAnsi="Arial" w:hint="default"/>
      </w:rPr>
    </w:lvl>
    <w:lvl w:ilvl="8" w:tplc="0F8839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995563"/>
    <w:multiLevelType w:val="hybridMultilevel"/>
    <w:tmpl w:val="1B2A87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1F"/>
    <w:rsid w:val="00023354"/>
    <w:rsid w:val="0005580D"/>
    <w:rsid w:val="00150378"/>
    <w:rsid w:val="001B3450"/>
    <w:rsid w:val="001E16FB"/>
    <w:rsid w:val="00204DB0"/>
    <w:rsid w:val="002F06F6"/>
    <w:rsid w:val="00317CBC"/>
    <w:rsid w:val="00341221"/>
    <w:rsid w:val="003D2D48"/>
    <w:rsid w:val="00414FC7"/>
    <w:rsid w:val="00424BA7"/>
    <w:rsid w:val="00445157"/>
    <w:rsid w:val="0045196D"/>
    <w:rsid w:val="00512452"/>
    <w:rsid w:val="0051321F"/>
    <w:rsid w:val="00541372"/>
    <w:rsid w:val="005640D1"/>
    <w:rsid w:val="005B168A"/>
    <w:rsid w:val="005B6D65"/>
    <w:rsid w:val="00606F6E"/>
    <w:rsid w:val="00613B1F"/>
    <w:rsid w:val="0066589F"/>
    <w:rsid w:val="006D2783"/>
    <w:rsid w:val="006D6E9D"/>
    <w:rsid w:val="00704492"/>
    <w:rsid w:val="00713B87"/>
    <w:rsid w:val="00742CD2"/>
    <w:rsid w:val="00761F41"/>
    <w:rsid w:val="0077509E"/>
    <w:rsid w:val="008373F4"/>
    <w:rsid w:val="00851C26"/>
    <w:rsid w:val="008C58EB"/>
    <w:rsid w:val="008F6E6D"/>
    <w:rsid w:val="009262EA"/>
    <w:rsid w:val="00945C75"/>
    <w:rsid w:val="009941EF"/>
    <w:rsid w:val="009A2EEC"/>
    <w:rsid w:val="009B7DF9"/>
    <w:rsid w:val="009F12E6"/>
    <w:rsid w:val="009F320F"/>
    <w:rsid w:val="00A146FC"/>
    <w:rsid w:val="00A21CDB"/>
    <w:rsid w:val="00A374C9"/>
    <w:rsid w:val="00A52521"/>
    <w:rsid w:val="00AC6E1E"/>
    <w:rsid w:val="00AE007C"/>
    <w:rsid w:val="00B1017D"/>
    <w:rsid w:val="00B16563"/>
    <w:rsid w:val="00B63E1C"/>
    <w:rsid w:val="00B83117"/>
    <w:rsid w:val="00C465FE"/>
    <w:rsid w:val="00CE57A1"/>
    <w:rsid w:val="00CF7090"/>
    <w:rsid w:val="00D41804"/>
    <w:rsid w:val="00D63B2C"/>
    <w:rsid w:val="00D6629D"/>
    <w:rsid w:val="00D94407"/>
    <w:rsid w:val="00E35F3F"/>
    <w:rsid w:val="00E64520"/>
    <w:rsid w:val="00E745E3"/>
    <w:rsid w:val="00E7670A"/>
    <w:rsid w:val="00E7700F"/>
    <w:rsid w:val="00EB0E4C"/>
    <w:rsid w:val="00EB551A"/>
    <w:rsid w:val="00EE3DDE"/>
    <w:rsid w:val="00F06048"/>
    <w:rsid w:val="00F4160F"/>
    <w:rsid w:val="00F73FB8"/>
    <w:rsid w:val="00F91702"/>
    <w:rsid w:val="00FA046B"/>
    <w:rsid w:val="00FF1C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EC9C"/>
  <w15:chartTrackingRefBased/>
  <w15:docId w15:val="{B645EC03-CFA6-4FC6-AED9-13ED56E1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7090"/>
    <w:pPr>
      <w:spacing w:after="0" w:line="260" w:lineRule="atLeast"/>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7090"/>
    <w:pPr>
      <w:ind w:left="720"/>
      <w:contextualSpacing/>
    </w:pPr>
  </w:style>
  <w:style w:type="table" w:styleId="Tabellenraster">
    <w:name w:val="Table Grid"/>
    <w:basedOn w:val="NormaleTabelle"/>
    <w:uiPriority w:val="39"/>
    <w:rsid w:val="00CF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F7090"/>
    <w:rPr>
      <w:sz w:val="16"/>
      <w:szCs w:val="16"/>
    </w:rPr>
  </w:style>
  <w:style w:type="paragraph" w:styleId="Kommentartext">
    <w:name w:val="annotation text"/>
    <w:basedOn w:val="Standard"/>
    <w:link w:val="KommentartextZchn"/>
    <w:uiPriority w:val="99"/>
    <w:semiHidden/>
    <w:unhideWhenUsed/>
    <w:rsid w:val="00CF7090"/>
    <w:pPr>
      <w:spacing w:line="240" w:lineRule="auto"/>
    </w:pPr>
    <w:rPr>
      <w:szCs w:val="20"/>
    </w:rPr>
  </w:style>
  <w:style w:type="character" w:customStyle="1" w:styleId="KommentartextZchn">
    <w:name w:val="Kommentartext Zchn"/>
    <w:basedOn w:val="Absatz-Standardschriftart"/>
    <w:link w:val="Kommentartext"/>
    <w:uiPriority w:val="99"/>
    <w:semiHidden/>
    <w:rsid w:val="00CF7090"/>
    <w:rPr>
      <w:rFonts w:ascii="Arial" w:hAnsi="Arial" w:cs="Arial"/>
      <w:sz w:val="20"/>
      <w:szCs w:val="20"/>
    </w:rPr>
  </w:style>
  <w:style w:type="paragraph" w:styleId="Sprechblasentext">
    <w:name w:val="Balloon Text"/>
    <w:basedOn w:val="Standard"/>
    <w:link w:val="SprechblasentextZchn"/>
    <w:uiPriority w:val="99"/>
    <w:semiHidden/>
    <w:unhideWhenUsed/>
    <w:rsid w:val="00CF709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090"/>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21CDB"/>
    <w:rPr>
      <w:b/>
      <w:bCs/>
    </w:rPr>
  </w:style>
  <w:style w:type="character" w:customStyle="1" w:styleId="KommentarthemaZchn">
    <w:name w:val="Kommentarthema Zchn"/>
    <w:basedOn w:val="KommentartextZchn"/>
    <w:link w:val="Kommentarthema"/>
    <w:uiPriority w:val="99"/>
    <w:semiHidden/>
    <w:rsid w:val="00A21CDB"/>
    <w:rPr>
      <w:rFonts w:ascii="Arial" w:hAnsi="Arial" w:cs="Arial"/>
      <w:b/>
      <w:bCs/>
      <w:sz w:val="20"/>
      <w:szCs w:val="20"/>
    </w:rPr>
  </w:style>
  <w:style w:type="character" w:styleId="Hyperlink">
    <w:name w:val="Hyperlink"/>
    <w:basedOn w:val="Absatz-Standardschriftart"/>
    <w:uiPriority w:val="99"/>
    <w:unhideWhenUsed/>
    <w:rsid w:val="009F12E6"/>
    <w:rPr>
      <w:color w:val="0563C1" w:themeColor="hyperlink"/>
      <w:u w:val="single"/>
    </w:rPr>
  </w:style>
  <w:style w:type="paragraph" w:styleId="Kopfzeile">
    <w:name w:val="header"/>
    <w:basedOn w:val="Standard"/>
    <w:link w:val="KopfzeileZchn"/>
    <w:uiPriority w:val="99"/>
    <w:unhideWhenUsed/>
    <w:rsid w:val="00D63B2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63B2C"/>
    <w:rPr>
      <w:rFonts w:ascii="Arial" w:hAnsi="Arial" w:cs="Arial"/>
      <w:sz w:val="20"/>
    </w:rPr>
  </w:style>
  <w:style w:type="paragraph" w:styleId="Fuzeile">
    <w:name w:val="footer"/>
    <w:basedOn w:val="Standard"/>
    <w:link w:val="FuzeileZchn"/>
    <w:uiPriority w:val="99"/>
    <w:unhideWhenUsed/>
    <w:rsid w:val="00D63B2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63B2C"/>
    <w:rPr>
      <w:rFonts w:ascii="Arial" w:hAnsi="Arial" w:cs="Arial"/>
      <w:sz w:val="20"/>
    </w:rPr>
  </w:style>
  <w:style w:type="paragraph" w:styleId="Textkrper">
    <w:name w:val="Body Text"/>
    <w:aliases w:val="_Text"/>
    <w:basedOn w:val="Standard"/>
    <w:link w:val="TextkrperZchn"/>
    <w:qFormat/>
    <w:rsid w:val="008C58EB"/>
    <w:pPr>
      <w:spacing w:after="260"/>
    </w:pPr>
    <w:rPr>
      <w:rFonts w:asciiTheme="minorHAnsi" w:hAnsiTheme="minorHAnsi" w:cstheme="minorBidi"/>
      <w:szCs w:val="20"/>
    </w:rPr>
  </w:style>
  <w:style w:type="character" w:customStyle="1" w:styleId="TextkrperZchn">
    <w:name w:val="Textkörper Zchn"/>
    <w:aliases w:val="_Text Zchn"/>
    <w:basedOn w:val="Absatz-Standardschriftart"/>
    <w:link w:val="Textkrper"/>
    <w:rsid w:val="008C58EB"/>
    <w:rPr>
      <w:sz w:val="20"/>
      <w:szCs w:val="20"/>
    </w:rPr>
  </w:style>
  <w:style w:type="paragraph" w:styleId="berarbeitung">
    <w:name w:val="Revision"/>
    <w:hidden/>
    <w:uiPriority w:val="99"/>
    <w:semiHidden/>
    <w:rsid w:val="00CE57A1"/>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railcom.admin.ch" TargetMode="Externa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Ken RailCom</dc:creator>
  <cp:keywords/>
  <dc:description/>
  <cp:lastModifiedBy>Ziegler Ken RailCom</cp:lastModifiedBy>
  <cp:revision>2</cp:revision>
  <cp:lastPrinted>2022-09-28T12:07:00Z</cp:lastPrinted>
  <dcterms:created xsi:type="dcterms:W3CDTF">2022-09-28T12:09:00Z</dcterms:created>
  <dcterms:modified xsi:type="dcterms:W3CDTF">2022-09-28T12:09:00Z</dcterms:modified>
</cp:coreProperties>
</file>